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E6B10" w14:textId="77777777" w:rsidR="009241A8" w:rsidRDefault="009241A8" w:rsidP="009241A8">
      <w:pPr>
        <w:tabs>
          <w:tab w:val="left" w:pos="1440"/>
        </w:tabs>
        <w:jc w:val="center"/>
        <w:rPr>
          <w:b/>
        </w:rPr>
      </w:pPr>
      <w:bookmarkStart w:id="0" w:name="_GoBack"/>
      <w:bookmarkEnd w:id="0"/>
    </w:p>
    <w:p w14:paraId="133E2C4B" w14:textId="77777777" w:rsidR="009241A8" w:rsidRDefault="009241A8" w:rsidP="009241A8">
      <w:pPr>
        <w:tabs>
          <w:tab w:val="left" w:pos="1440"/>
        </w:tabs>
        <w:jc w:val="center"/>
        <w:rPr>
          <w:b/>
        </w:rPr>
      </w:pPr>
    </w:p>
    <w:p w14:paraId="5335E6E0" w14:textId="77777777" w:rsidR="009241A8" w:rsidRDefault="009241A8" w:rsidP="009241A8">
      <w:pPr>
        <w:tabs>
          <w:tab w:val="left" w:pos="1440"/>
        </w:tabs>
        <w:jc w:val="center"/>
        <w:rPr>
          <w:b/>
        </w:rPr>
      </w:pPr>
    </w:p>
    <w:p w14:paraId="55E710F7" w14:textId="77777777" w:rsidR="009241A8" w:rsidRDefault="009241A8" w:rsidP="009241A8">
      <w:pPr>
        <w:tabs>
          <w:tab w:val="left" w:pos="1440"/>
        </w:tabs>
        <w:jc w:val="center"/>
        <w:rPr>
          <w:b/>
        </w:rPr>
      </w:pPr>
    </w:p>
    <w:p w14:paraId="1C82BBA9" w14:textId="77777777" w:rsidR="009241A8" w:rsidRDefault="009241A8" w:rsidP="009241A8">
      <w:pPr>
        <w:tabs>
          <w:tab w:val="left" w:pos="1440"/>
        </w:tabs>
        <w:jc w:val="center"/>
        <w:rPr>
          <w:b/>
        </w:rPr>
      </w:pPr>
    </w:p>
    <w:p w14:paraId="4FB59592" w14:textId="77777777" w:rsidR="009241A8" w:rsidRPr="009241A8" w:rsidRDefault="009241A8" w:rsidP="009241A8">
      <w:r w:rsidRPr="009241A8">
        <w:t>Amie L. Thomasson</w:t>
      </w:r>
    </w:p>
    <w:p w14:paraId="5E65F365" w14:textId="77777777" w:rsidR="009241A8" w:rsidRPr="009241A8" w:rsidRDefault="009241A8" w:rsidP="009241A8">
      <w:pPr>
        <w:tabs>
          <w:tab w:val="left" w:pos="1440"/>
        </w:tabs>
      </w:pPr>
    </w:p>
    <w:p w14:paraId="3D83F426" w14:textId="77777777" w:rsidR="009241A8" w:rsidRPr="009241A8" w:rsidRDefault="009241A8" w:rsidP="009241A8">
      <w:pPr>
        <w:tabs>
          <w:tab w:val="left" w:pos="1440"/>
        </w:tabs>
      </w:pPr>
      <w:r w:rsidRPr="009241A8">
        <w:t>Structural Explanations and Norms: Comments on Haslanger</w:t>
      </w:r>
    </w:p>
    <w:p w14:paraId="0437EA45" w14:textId="77777777" w:rsidR="009241A8" w:rsidRPr="009241A8" w:rsidRDefault="009241A8" w:rsidP="009241A8">
      <w:pPr>
        <w:tabs>
          <w:tab w:val="left" w:pos="1440"/>
        </w:tabs>
      </w:pPr>
    </w:p>
    <w:p w14:paraId="7022FF94" w14:textId="77777777" w:rsidR="009241A8" w:rsidRPr="009241A8" w:rsidRDefault="009241A8" w:rsidP="009241A8">
      <w:pPr>
        <w:tabs>
          <w:tab w:val="left" w:pos="1440"/>
        </w:tabs>
      </w:pPr>
    </w:p>
    <w:p w14:paraId="09B3B88C" w14:textId="08AABF1C" w:rsidR="009241A8" w:rsidRPr="009241A8" w:rsidRDefault="009241A8" w:rsidP="009241A8">
      <w:pPr>
        <w:tabs>
          <w:tab w:val="left" w:pos="1440"/>
        </w:tabs>
      </w:pPr>
      <w:r w:rsidRPr="009241A8">
        <w:t>Department of Philosophy, University of Miami</w:t>
      </w:r>
    </w:p>
    <w:p w14:paraId="4EBB7600" w14:textId="52AFBF13" w:rsidR="009241A8" w:rsidRPr="009241A8" w:rsidRDefault="009241A8" w:rsidP="009241A8">
      <w:pPr>
        <w:tabs>
          <w:tab w:val="left" w:pos="1440"/>
        </w:tabs>
      </w:pPr>
      <w:r w:rsidRPr="009241A8">
        <w:t xml:space="preserve">Box 248054 </w:t>
      </w:r>
    </w:p>
    <w:p w14:paraId="1972583C" w14:textId="74FD8104" w:rsidR="009241A8" w:rsidRDefault="009241A8" w:rsidP="009241A8">
      <w:pPr>
        <w:tabs>
          <w:tab w:val="left" w:pos="1440"/>
        </w:tabs>
      </w:pPr>
      <w:r w:rsidRPr="009241A8">
        <w:t>Coral Gables, FL 33124-4670</w:t>
      </w:r>
    </w:p>
    <w:p w14:paraId="3C4B64F9" w14:textId="74827193" w:rsidR="009241A8" w:rsidRDefault="004D2ACE" w:rsidP="009241A8">
      <w:pPr>
        <w:tabs>
          <w:tab w:val="left" w:pos="1440"/>
        </w:tabs>
      </w:pPr>
      <w:hyperlink r:id="rId8" w:history="1">
        <w:r w:rsidR="009241A8" w:rsidRPr="001F08BE">
          <w:rPr>
            <w:rStyle w:val="Hyperlink"/>
          </w:rPr>
          <w:t>thomasson@miami.edu</w:t>
        </w:r>
      </w:hyperlink>
      <w:r w:rsidR="009241A8">
        <w:t xml:space="preserve">  786-378-4949, fax: 305-284-5594</w:t>
      </w:r>
    </w:p>
    <w:p w14:paraId="105052BA" w14:textId="77777777" w:rsidR="009241A8" w:rsidRDefault="009241A8" w:rsidP="009241A8">
      <w:pPr>
        <w:tabs>
          <w:tab w:val="left" w:pos="1440"/>
        </w:tabs>
      </w:pPr>
    </w:p>
    <w:p w14:paraId="4B4C0398" w14:textId="77777777" w:rsidR="009241A8" w:rsidRDefault="009241A8" w:rsidP="009241A8">
      <w:pPr>
        <w:tabs>
          <w:tab w:val="left" w:pos="1440"/>
        </w:tabs>
      </w:pPr>
    </w:p>
    <w:p w14:paraId="3B422E78" w14:textId="1EE38DB7" w:rsidR="009241A8" w:rsidRPr="009241A8" w:rsidRDefault="009241A8" w:rsidP="009241A8">
      <w:pPr>
        <w:tabs>
          <w:tab w:val="left" w:pos="1440"/>
        </w:tabs>
      </w:pPr>
      <w:r>
        <w:t xml:space="preserve">Abstract: Sally Haslanger undertakes groundbreaking work </w:t>
      </w:r>
      <w:r w:rsidR="00AB103D">
        <w:t xml:space="preserve">in developing </w:t>
      </w:r>
      <w:r>
        <w:t>an account of structural explanation</w:t>
      </w:r>
      <w:r w:rsidR="00C63C2C">
        <w:t>s</w:t>
      </w:r>
      <w:r>
        <w:t xml:space="preserve"> and the social </w:t>
      </w:r>
      <w:r w:rsidR="00AB103D">
        <w:t xml:space="preserve">structures that figure in them. A chief virtue of the account is that it can </w:t>
      </w:r>
      <w:r>
        <w:t>show the importance</w:t>
      </w:r>
      <w:r w:rsidR="00AB103D">
        <w:t xml:space="preserve"> of structural explanations while also </w:t>
      </w:r>
      <w:r>
        <w:t>respect</w:t>
      </w:r>
      <w:r w:rsidR="00AB103D">
        <w:t>ing</w:t>
      </w:r>
      <w:r>
        <w:t xml:space="preserve"> the role of individual autono</w:t>
      </w:r>
      <w:r w:rsidR="00AB103D">
        <w:t>my in explaining many decisions, by demonstrating the way in which social structures may set up a ‘choice architecture’ in which these choices are made.</w:t>
      </w:r>
      <w:r>
        <w:t xml:space="preserve"> This paper gives an overview of this achievement, and </w:t>
      </w:r>
      <w:r w:rsidR="00AB103D">
        <w:t xml:space="preserve">goes on to consider why there may be need to broaden the role of social structural explanations beyond those that involve explicit choice within a choice architecture. It develops the idea, familiar from work by Heidegger and Ingarden, that social artifacts, roles, and nodes in social structures may be constitutively defined by norms. It closes by suggesting that attention to the role of norms in social structures may enable us to broaden the account to include structural explanations of other kinds. </w:t>
      </w:r>
    </w:p>
    <w:p w14:paraId="0A3A2F33" w14:textId="77777777" w:rsidR="009241A8" w:rsidRPr="009241A8" w:rsidRDefault="009241A8" w:rsidP="009241A8"/>
    <w:p w14:paraId="75315F63" w14:textId="77777777" w:rsidR="009241A8" w:rsidRPr="009241A8" w:rsidRDefault="009241A8" w:rsidP="009241A8"/>
    <w:p w14:paraId="0917A1ED" w14:textId="32CBD9EF" w:rsidR="00772358" w:rsidRDefault="00772358">
      <w:pPr>
        <w:rPr>
          <w:b/>
        </w:rPr>
      </w:pPr>
      <w:r>
        <w:rPr>
          <w:b/>
        </w:rPr>
        <w:t xml:space="preserve">Key words: </w:t>
      </w:r>
      <w:r>
        <w:t xml:space="preserve">Haslanger, structural explanation, social structure, norms </w:t>
      </w:r>
      <w:r>
        <w:rPr>
          <w:b/>
        </w:rPr>
        <w:br w:type="page"/>
      </w:r>
    </w:p>
    <w:p w14:paraId="51FFCA78" w14:textId="77777777" w:rsidR="009241A8" w:rsidRDefault="009241A8" w:rsidP="00772358">
      <w:pPr>
        <w:jc w:val="both"/>
        <w:rPr>
          <w:b/>
        </w:rPr>
      </w:pPr>
    </w:p>
    <w:p w14:paraId="258B7912" w14:textId="03705FCB" w:rsidR="002323E7" w:rsidRPr="00297870" w:rsidRDefault="00433BB2" w:rsidP="004C77BB">
      <w:pPr>
        <w:tabs>
          <w:tab w:val="left" w:pos="1440"/>
        </w:tabs>
        <w:jc w:val="center"/>
        <w:rPr>
          <w:b/>
        </w:rPr>
      </w:pPr>
      <w:r>
        <w:rPr>
          <w:b/>
        </w:rPr>
        <w:t xml:space="preserve">Structural Explanations and Norms: </w:t>
      </w:r>
      <w:r w:rsidR="00297870" w:rsidRPr="00297870">
        <w:rPr>
          <w:b/>
        </w:rPr>
        <w:t xml:space="preserve">Comments </w:t>
      </w:r>
      <w:r>
        <w:rPr>
          <w:b/>
        </w:rPr>
        <w:t xml:space="preserve">on </w:t>
      </w:r>
      <w:r w:rsidR="009751EC">
        <w:rPr>
          <w:b/>
        </w:rPr>
        <w:t>Haslanger</w:t>
      </w:r>
    </w:p>
    <w:p w14:paraId="775D838C" w14:textId="77777777" w:rsidR="00297870" w:rsidRDefault="00297870" w:rsidP="00297870">
      <w:pPr>
        <w:jc w:val="center"/>
        <w:rPr>
          <w:b/>
        </w:rPr>
      </w:pPr>
    </w:p>
    <w:p w14:paraId="598C84E0" w14:textId="77777777" w:rsidR="00297870" w:rsidRDefault="00297870" w:rsidP="00297870">
      <w:pPr>
        <w:jc w:val="center"/>
        <w:rPr>
          <w:b/>
        </w:rPr>
      </w:pPr>
    </w:p>
    <w:p w14:paraId="4BF5CF98" w14:textId="4DDBEA97" w:rsidR="001C1763" w:rsidRDefault="001C1763" w:rsidP="00297870">
      <w:pPr>
        <w:jc w:val="center"/>
        <w:rPr>
          <w:b/>
        </w:rPr>
      </w:pPr>
      <w:r>
        <w:rPr>
          <w:b/>
        </w:rPr>
        <w:t>Amie L. Thomasson</w:t>
      </w:r>
    </w:p>
    <w:p w14:paraId="3029C79F" w14:textId="77777777" w:rsidR="001C1763" w:rsidRDefault="001C1763" w:rsidP="00297870">
      <w:pPr>
        <w:jc w:val="center"/>
        <w:rPr>
          <w:b/>
        </w:rPr>
      </w:pPr>
    </w:p>
    <w:p w14:paraId="7ED25851" w14:textId="0E605263" w:rsidR="00297870" w:rsidRDefault="00703371" w:rsidP="00297870">
      <w:r w:rsidRPr="00703371">
        <w:tab/>
        <w:t>A lot h</w:t>
      </w:r>
      <w:r>
        <w:t xml:space="preserve">inges on what we think explains social phenomena. Consider the question: Why do so many more women than men quit their jobs to care for their young children? Attribute it to individual free choice alone, and there is nothing more to say, and no injustice to confront with changes in our policies or practices. Attribute it ‘society’ and you risk not only being painfully imprecise, but also failing to respect the autonomy of the women who make these decisions. </w:t>
      </w:r>
    </w:p>
    <w:p w14:paraId="66931E8C" w14:textId="3511AD80" w:rsidR="00297870" w:rsidRDefault="00703371" w:rsidP="00297870">
      <w:r>
        <w:tab/>
        <w:t xml:space="preserve">Haslanger’s paper undertakes extraordinarily important </w:t>
      </w:r>
      <w:r w:rsidR="00772358">
        <w:t>groundbreaking</w:t>
      </w:r>
      <w:r>
        <w:t xml:space="preserve"> work </w:t>
      </w:r>
      <w:r w:rsidR="001C1763">
        <w:t xml:space="preserve">in aiming to give an account of structural explanation and of the social structures that figure in them. The account she provides has the crucial advantage of threading around these traditional alternatives, </w:t>
      </w:r>
      <w:r w:rsidR="00B23385">
        <w:t xml:space="preserve">giving </w:t>
      </w:r>
      <w:r>
        <w:t xml:space="preserve">an account of </w:t>
      </w:r>
      <w:r w:rsidR="000E5EDA">
        <w:t xml:space="preserve">structural explanations </w:t>
      </w:r>
      <w:r>
        <w:t xml:space="preserve">in a way that makes clear that </w:t>
      </w:r>
      <w:r w:rsidR="00C54B6E">
        <w:t xml:space="preserve">they </w:t>
      </w:r>
      <w:r w:rsidR="00297870">
        <w:t>are not in conflict with individualistic explanations and</w:t>
      </w:r>
      <w:r w:rsidR="000E5EDA">
        <w:t xml:space="preserve"> are compatible with acknowledging the role of actors as autonomous agents making rational decisions</w:t>
      </w:r>
      <w:r w:rsidR="00297870">
        <w:t xml:space="preserve">. </w:t>
      </w:r>
      <w:r w:rsidR="000E5EDA">
        <w:t>But while structural explanations are compatible with individualistic explanations, she argues convincingly that structural explanations</w:t>
      </w:r>
      <w:r w:rsidR="00772358">
        <w:t xml:space="preserve"> appealing to social structures</w:t>
      </w:r>
      <w:r w:rsidR="000E5EDA">
        <w:t xml:space="preserve"> are “in many ways preferable to individualistic explanations”.</w:t>
      </w:r>
    </w:p>
    <w:p w14:paraId="7382996E" w14:textId="036F6178" w:rsidR="00D77082" w:rsidRDefault="00297870" w:rsidP="00A42010">
      <w:r>
        <w:tab/>
      </w:r>
      <w:r w:rsidR="009E7BA0">
        <w:t xml:space="preserve">I </w:t>
      </w:r>
      <w:r w:rsidR="000E5EDA">
        <w:t xml:space="preserve">begin by reviewing what structural explanations are, how they </w:t>
      </w:r>
      <w:r w:rsidR="00AD7A6F">
        <w:t xml:space="preserve">are compatible with acknowledging agent </w:t>
      </w:r>
      <w:r w:rsidR="000E5EDA">
        <w:t xml:space="preserve">autonomy, and the ways in which they may be preferable to individualistic explanations.  </w:t>
      </w:r>
      <w:r w:rsidR="00A42010">
        <w:t xml:space="preserve">In all of this I think Haslanger is entirely successful. My only real worry concerns the breadth of the account. For </w:t>
      </w:r>
      <w:r w:rsidR="00300485">
        <w:t xml:space="preserve">while </w:t>
      </w:r>
      <w:r w:rsidR="00A42010">
        <w:t xml:space="preserve">the main account Haslanger offers </w:t>
      </w:r>
      <w:r w:rsidR="00300485">
        <w:t>work</w:t>
      </w:r>
      <w:r w:rsidR="00A42010">
        <w:t>s</w:t>
      </w:r>
      <w:r w:rsidR="00300485">
        <w:t xml:space="preserve"> well in explaining</w:t>
      </w:r>
      <w:r w:rsidR="00C54B6E">
        <w:t xml:space="preserve"> how a social structure may figure in the best explanation, even where rational choices are involved</w:t>
      </w:r>
      <w:r w:rsidR="00300485">
        <w:t xml:space="preserve">, </w:t>
      </w:r>
      <w:r w:rsidR="00A42010">
        <w:t xml:space="preserve">it </w:t>
      </w:r>
      <w:r w:rsidR="009E7BA0">
        <w:t xml:space="preserve">may not </w:t>
      </w:r>
      <w:r w:rsidR="00B23385">
        <w:t xml:space="preserve">yet do </w:t>
      </w:r>
      <w:r w:rsidR="009E7BA0">
        <w:t>enough to capture all the deep and sometimes insidious ways in which social structures can and should figure in explanations.</w:t>
      </w:r>
      <w:r w:rsidR="00300485">
        <w:t xml:space="preserve"> </w:t>
      </w:r>
      <w:r w:rsidR="009E7BA0">
        <w:t xml:space="preserve">I’ll </w:t>
      </w:r>
      <w:r w:rsidR="00C54B6E">
        <w:t>suggest</w:t>
      </w:r>
      <w:r w:rsidR="00D7362C">
        <w:t xml:space="preserve"> </w:t>
      </w:r>
      <w:r w:rsidR="009E7BA0">
        <w:t>that attention to the normativity inherent in social structures may enable us to go further in developing structural explanations</w:t>
      </w:r>
      <w:r w:rsidR="000410DB">
        <w:t xml:space="preserve"> of other kinds</w:t>
      </w:r>
      <w:r w:rsidR="00300485">
        <w:t xml:space="preserve">, </w:t>
      </w:r>
      <w:r w:rsidR="00D7362C">
        <w:t>including some that may not meet t</w:t>
      </w:r>
      <w:r w:rsidR="00300485">
        <w:t>he ‘agent autonomy’ requirement</w:t>
      </w:r>
      <w:r w:rsidR="000410DB">
        <w:t>.</w:t>
      </w:r>
    </w:p>
    <w:p w14:paraId="744513EF" w14:textId="77777777" w:rsidR="0046216F" w:rsidRDefault="0046216F" w:rsidP="00297870"/>
    <w:p w14:paraId="191AA526" w14:textId="77777777" w:rsidR="00D77082" w:rsidRDefault="00D77082" w:rsidP="00297870">
      <w:r>
        <w:t xml:space="preserve">1. </w:t>
      </w:r>
      <w:r w:rsidRPr="00D77082">
        <w:rPr>
          <w:b/>
        </w:rPr>
        <w:t>Structural Explanations and their Virtues</w:t>
      </w:r>
    </w:p>
    <w:p w14:paraId="2E3E56E2" w14:textId="62FAE938" w:rsidR="009E7BA0" w:rsidRDefault="009E7BA0" w:rsidP="00297870">
      <w:r>
        <w:t xml:space="preserve"> </w:t>
      </w:r>
      <w:r w:rsidR="0046216F">
        <w:tab/>
        <w:t>Structural explanati</w:t>
      </w:r>
      <w:r w:rsidR="00A41326">
        <w:t>ons in general are, roughly,</w:t>
      </w:r>
      <w:r w:rsidR="0046216F">
        <w:t xml:space="preserve"> explanations of something in terms of its bein</w:t>
      </w:r>
      <w:r w:rsidR="00A41326">
        <w:t>g part of a larger system that</w:t>
      </w:r>
      <w:r w:rsidR="00FC270E">
        <w:t xml:space="preserve"> constrains it—as </w:t>
      </w:r>
      <w:r w:rsidR="0046216F">
        <w:t>we explain the trajectory of the dog treat in terms o</w:t>
      </w:r>
      <w:r w:rsidR="00FC270E">
        <w:t>f the ball that it is packed in</w:t>
      </w:r>
      <w:r w:rsidR="0046216F">
        <w:t>. By contrast, individualistic explanations</w:t>
      </w:r>
      <w:r w:rsidR="00FC270E">
        <w:t xml:space="preserve"> </w:t>
      </w:r>
      <w:r w:rsidR="0046216F">
        <w:t>appeal primarily to the behavior of the indivi</w:t>
      </w:r>
      <w:r w:rsidR="007014A7">
        <w:t>dual</w:t>
      </w:r>
      <w:r w:rsidR="004E4BC8">
        <w:t>—</w:t>
      </w:r>
      <w:r w:rsidR="00FC270E">
        <w:t xml:space="preserve">in the social cases at hand, more specifically, </w:t>
      </w:r>
      <w:r w:rsidR="0093133C">
        <w:t>to the psychological states of the individual (16)</w:t>
      </w:r>
      <w:r w:rsidR="007014A7">
        <w:t xml:space="preserve">. </w:t>
      </w:r>
      <w:r w:rsidR="00A41326">
        <w:t>We can also distinguish</w:t>
      </w:r>
      <w:r w:rsidR="000410DB">
        <w:t xml:space="preserve"> (</w:t>
      </w:r>
      <w:r w:rsidR="00A41326">
        <w:t xml:space="preserve">with </w:t>
      </w:r>
      <w:r w:rsidR="000410DB">
        <w:t xml:space="preserve">Dretske) between </w:t>
      </w:r>
      <w:r w:rsidR="007014A7">
        <w:t>structuring causes (appeal to which can explain why this outcome rather than another one happ</w:t>
      </w:r>
      <w:r w:rsidR="000410DB">
        <w:t>ened)</w:t>
      </w:r>
      <w:r w:rsidR="007014A7">
        <w:t xml:space="preserve"> </w:t>
      </w:r>
      <w:r w:rsidR="00A41326">
        <w:t xml:space="preserve">and </w:t>
      </w:r>
      <w:r w:rsidR="007014A7">
        <w:t>triggering causes (what causes the event to happen now) (14)</w:t>
      </w:r>
      <w:r w:rsidR="000410DB">
        <w:t xml:space="preserve">. </w:t>
      </w:r>
      <w:r w:rsidR="00FC270E">
        <w:t>An explanation that appeals to a structuring cause is not in conflict with one that appeals to a triggering cause</w:t>
      </w:r>
      <w:r w:rsidR="004E4BC8">
        <w:t xml:space="preserve"> such as an agent’s decision</w:t>
      </w:r>
      <w:r w:rsidR="00FC270E">
        <w:t>.</w:t>
      </w:r>
    </w:p>
    <w:p w14:paraId="2897D8CC" w14:textId="742781DA" w:rsidR="0046216F" w:rsidRDefault="0046216F" w:rsidP="00297870">
      <w:r>
        <w:tab/>
        <w:t xml:space="preserve">In what ways might social-structural explanations be superior to individualistic explanations of social phenomena? </w:t>
      </w:r>
      <w:r w:rsidR="00FC270E">
        <w:t xml:space="preserve">Haslanger </w:t>
      </w:r>
      <w:r w:rsidR="000410DB">
        <w:t>suggests several ways</w:t>
      </w:r>
      <w:r w:rsidR="001E3180">
        <w:t>:</w:t>
      </w:r>
    </w:p>
    <w:p w14:paraId="6464C287" w14:textId="78676922" w:rsidR="001E3180" w:rsidRDefault="001E3180" w:rsidP="001E3180">
      <w:pPr>
        <w:pStyle w:val="ListParagraph"/>
        <w:numPr>
          <w:ilvl w:val="0"/>
          <w:numId w:val="1"/>
        </w:numPr>
      </w:pPr>
      <w:r>
        <w:t xml:space="preserve">Structural explanations in general </w:t>
      </w:r>
      <w:r w:rsidR="00FC270E">
        <w:t>better enable</w:t>
      </w:r>
      <w:r>
        <w:t xml:space="preserve"> us to intervene (as the ball-based explanation would better enable us to intervene to save the treat). (3)</w:t>
      </w:r>
    </w:p>
    <w:p w14:paraId="0887ACA2" w14:textId="5C8A977E" w:rsidR="001E3180" w:rsidRDefault="001E3180" w:rsidP="001E3180">
      <w:pPr>
        <w:pStyle w:val="ListParagraph"/>
        <w:numPr>
          <w:ilvl w:val="0"/>
          <w:numId w:val="1"/>
        </w:numPr>
      </w:pPr>
      <w:r>
        <w:t>They enable us to offer explanations that are better in the sense of enabling us to ask, and answer, better questions: properly addressing the ‘foil’ cases (as it is only by taking into account the structure of possibilities laid out by the ‘curve’ grading system that we can properly explain why Mary got the (only) A</w:t>
      </w:r>
      <w:r w:rsidR="00FC270E">
        <w:t>)</w:t>
      </w:r>
      <w:r w:rsidR="00A41326">
        <w:t>.</w:t>
      </w:r>
      <w:r>
        <w:t xml:space="preserve"> (8)</w:t>
      </w:r>
    </w:p>
    <w:p w14:paraId="57F6726E" w14:textId="095C3532" w:rsidR="001E3180" w:rsidRDefault="001E3180" w:rsidP="001E3180">
      <w:pPr>
        <w:pStyle w:val="ListParagraph"/>
        <w:numPr>
          <w:ilvl w:val="0"/>
          <w:numId w:val="1"/>
        </w:numPr>
      </w:pPr>
      <w:r>
        <w:t xml:space="preserve">They enable us to offer more ‘stable’ explanations, in the sense of explanations that </w:t>
      </w:r>
      <w:r w:rsidR="007265F4">
        <w:t>apply to a broader ‘type’ and would continue to hold good even under various changes</w:t>
      </w:r>
      <w:r w:rsidR="00A41326">
        <w:t>.</w:t>
      </w:r>
      <w:r w:rsidR="007265F4">
        <w:t xml:space="preserve"> (9)</w:t>
      </w:r>
    </w:p>
    <w:p w14:paraId="2490CCEA" w14:textId="238A4F60" w:rsidR="007265F4" w:rsidRDefault="007265F4" w:rsidP="001E3180">
      <w:pPr>
        <w:pStyle w:val="ListParagraph"/>
        <w:numPr>
          <w:ilvl w:val="0"/>
          <w:numId w:val="1"/>
        </w:numPr>
      </w:pPr>
      <w:r>
        <w:t>Social-structural explanations also enable us to better identify and critique social injustice than ind</w:t>
      </w:r>
      <w:r w:rsidR="00D16A1A">
        <w:t>ividualistic explanations can (a</w:t>
      </w:r>
      <w:r w:rsidR="004E4BC8">
        <w:t xml:space="preserve">s in the case of </w:t>
      </w:r>
      <w:r>
        <w:t>Lisa and Larry</w:t>
      </w:r>
      <w:r w:rsidR="004E4BC8">
        <w:t xml:space="preserve"> seeking childcare</w:t>
      </w:r>
      <w:r>
        <w:t>)</w:t>
      </w:r>
      <w:r w:rsidR="00A41326">
        <w:t>.</w:t>
      </w:r>
      <w:r>
        <w:t xml:space="preserve"> (18)</w:t>
      </w:r>
    </w:p>
    <w:p w14:paraId="1EE8DC51" w14:textId="77777777" w:rsidR="002F4CFC" w:rsidRDefault="002F4CFC" w:rsidP="00747E7B"/>
    <w:p w14:paraId="103761C5" w14:textId="6658CC0A" w:rsidR="00747E7B" w:rsidRDefault="002F4CFC" w:rsidP="00747E7B">
      <w:r>
        <w:rPr>
          <w:b/>
        </w:rPr>
        <w:t>2. Structural explanation and the autonomy constraint</w:t>
      </w:r>
      <w:r w:rsidR="00B936AA">
        <w:tab/>
      </w:r>
    </w:p>
    <w:p w14:paraId="54BC21FD" w14:textId="0C13CB3A" w:rsidR="00BF0A1B" w:rsidRDefault="0093133C" w:rsidP="00747E7B">
      <w:r>
        <w:tab/>
        <w:t xml:space="preserve">The appeal to structural explanation in social science is controversial, since some hold that explanations of behavior must be in terms of psychological states (prominently, belief and desire) and that “no social explanation ought to be acceptable, if it assumes that people behave otherwise than in an agent-autonomous way” (Jackson and Pettit, as quoted p. 16). Some of </w:t>
      </w:r>
      <w:r w:rsidR="00FC270E">
        <w:t>Haslanger’s</w:t>
      </w:r>
      <w:r>
        <w:t xml:space="preserve"> initial examples might make one worry on that score: we might resist a model of human behavior within a social structure that made us look ‘constrained’ in a way that the behavior of a dog treat in a thrown ball is. Nonetheless, I think it is clear </w:t>
      </w:r>
      <w:r w:rsidR="00FC270E">
        <w:t xml:space="preserve">once one looks at her view as a whole that </w:t>
      </w:r>
      <w:r>
        <w:t xml:space="preserve">structural explanations, in her sense, </w:t>
      </w:r>
      <w:r w:rsidR="00FC270E">
        <w:t xml:space="preserve">are </w:t>
      </w:r>
      <w:r w:rsidR="00D16A1A">
        <w:t xml:space="preserve">perfectly </w:t>
      </w:r>
      <w:r>
        <w:t xml:space="preserve">compatible with this autonomy constraint. </w:t>
      </w:r>
    </w:p>
    <w:p w14:paraId="54D59C60" w14:textId="27346996" w:rsidR="0093133C" w:rsidRDefault="0093133C" w:rsidP="00747E7B">
      <w:r>
        <w:tab/>
        <w:t>This comes out once we see how social structures are related to soci</w:t>
      </w:r>
      <w:r w:rsidR="00F34BD5">
        <w:t xml:space="preserve">al explanations. Social structures ‘impose constraints on our action’ not in the way that the movement of a ball constrains the movements of the treat enclosed in it, but rather </w:t>
      </w:r>
      <w:r w:rsidR="002D3DFC">
        <w:t xml:space="preserve">(for example) </w:t>
      </w:r>
      <w:r w:rsidR="00F34BD5">
        <w:t xml:space="preserve">in that they set up a ‘choice architecture’ for individuals who occupy various ‘nodes’ in the </w:t>
      </w:r>
      <w:r w:rsidR="00867F9F">
        <w:t>social structure:</w:t>
      </w:r>
    </w:p>
    <w:p w14:paraId="09AD4E9C" w14:textId="20C35751" w:rsidR="00867F9F" w:rsidRDefault="00867F9F" w:rsidP="00867F9F">
      <w:pPr>
        <w:ind w:left="720"/>
      </w:pPr>
      <w:r>
        <w:t xml:space="preserve">Even if individual psychology provides triggering causes of our choices and actions, not only what we do, but what we can do, depends on social structure. The structures </w:t>
      </w:r>
      <w:r>
        <w:rPr>
          <w:i/>
        </w:rPr>
        <w:t xml:space="preserve">socially </w:t>
      </w:r>
      <w:r>
        <w:t>constrain our behavior by providing the options available… (24)</w:t>
      </w:r>
    </w:p>
    <w:p w14:paraId="6512E854" w14:textId="77777777" w:rsidR="00AA1E47" w:rsidRDefault="00867F9F" w:rsidP="00867F9F">
      <w:r>
        <w:t xml:space="preserve">It might be helpful to spell this out in </w:t>
      </w:r>
      <w:r w:rsidR="00100289">
        <w:t>detail using the</w:t>
      </w:r>
      <w:r>
        <w:t xml:space="preserve"> central example: Lisa and Larry (</w:t>
      </w:r>
      <w:r w:rsidR="00100289">
        <w:t xml:space="preserve">the </w:t>
      </w:r>
      <w:r>
        <w:t xml:space="preserve">parents with parity but without childcare) occupy different nodes in our social structure. As a result, the choices available to them differ: </w:t>
      </w:r>
      <w:r w:rsidR="00A15C1E">
        <w:t xml:space="preserve">Larry can choose </w:t>
      </w:r>
      <w:r w:rsidR="00A15C1E">
        <w:rPr>
          <w:i/>
        </w:rPr>
        <w:t xml:space="preserve">both </w:t>
      </w:r>
      <w:r w:rsidR="00A15C1E">
        <w:t>to</w:t>
      </w:r>
      <w:r w:rsidR="001B2420">
        <w:t xml:space="preserve"> keep his job,</w:t>
      </w:r>
      <w:r w:rsidR="00A15C1E">
        <w:t xml:space="preserve"> retain more than half of the family income</w:t>
      </w:r>
      <w:r w:rsidR="001B2420">
        <w:t>,</w:t>
      </w:r>
      <w:r w:rsidR="00A15C1E">
        <w:t xml:space="preserve"> and to have his child well cared for; Lisa cannot. </w:t>
      </w:r>
      <w:r w:rsidR="00DE2BE3">
        <w:t xml:space="preserve">In more detail (but of course still massively simplifying: most importantly away from the social approval/disapproval incurred by various choices) Lisa can choose (a) to keep </w:t>
      </w:r>
      <w:r w:rsidR="001B2420">
        <w:t xml:space="preserve">her job, keep </w:t>
      </w:r>
      <w:r w:rsidR="00DE2BE3">
        <w:t>less than half of the family income and have her child well cared for; (b) or to quit her job, keep more than half of the family income, and have her child well cared for; or (c) to keep her job, keep the full family income, and leave her child without decent care.  The social structure determines the combinations of options available to her—and they are different from the combinations of options available to Larry. This is what enables us to identify this form of social injustice—an injustice that persists even if one says ‘but Li</w:t>
      </w:r>
      <w:r w:rsidR="001B2420">
        <w:t xml:space="preserve">sa </w:t>
      </w:r>
      <w:r w:rsidR="001B2420" w:rsidRPr="00100289">
        <w:rPr>
          <w:i/>
        </w:rPr>
        <w:t>chose to</w:t>
      </w:r>
      <w:r w:rsidR="001B2420">
        <w:t xml:space="preserve"> quit her job’. T</w:t>
      </w:r>
      <w:r w:rsidR="00DE2BE3">
        <w:t xml:space="preserve">he immediate ‘triggering cause’ </w:t>
      </w:r>
      <w:r w:rsidR="001B2420">
        <w:t xml:space="preserve">(figuring in the individualistic explanation) </w:t>
      </w:r>
      <w:r w:rsidR="00DE2BE3">
        <w:t xml:space="preserve">is still Lisa’s beliefs and desires. And indeed we can say that, given her preferences and the options available, she chose rationally: her choice is rationally explicable and we can treat her as an autonomous agent. </w:t>
      </w:r>
      <w:r w:rsidR="001B2420">
        <w:t>So we can meet the ‘autonomy constraint’</w:t>
      </w:r>
      <w:r w:rsidR="00AA1E47">
        <w:t xml:space="preserve">. </w:t>
      </w:r>
    </w:p>
    <w:p w14:paraId="7004AC65" w14:textId="6893B941" w:rsidR="00867F9F" w:rsidRDefault="00AA1E47" w:rsidP="00AA1E47">
      <w:pPr>
        <w:ind w:firstLine="720"/>
      </w:pPr>
      <w:r>
        <w:t>But crucially, while we meet the autonomy constraint, the structural explanation enables us to identify an injustice in the situation that would be completely papered over if we limited our explanations to the ‘triggering’ causes in individual choices. The crucial and insightful feature we get out of the structural explanation is, first, a more stable explanation (that will be generalizable to explain an</w:t>
      </w:r>
      <w:r w:rsidR="002D3DFC">
        <w:t xml:space="preserve">d predict the choices of other individuals </w:t>
      </w:r>
      <w:r>
        <w:t xml:space="preserve">who occupy the same ‘nodes’ in the structure), and secondly and more importantly, a way of identifying a social injustice: that “women as a group are structurally situated so that it is rational for them to choose options that keep them subordinate” (14). </w:t>
      </w:r>
      <w:r w:rsidR="001B2420">
        <w:t xml:space="preserve"> </w:t>
      </w:r>
    </w:p>
    <w:p w14:paraId="5834E95F" w14:textId="0205F085" w:rsidR="00D14E70" w:rsidRDefault="00D14E70" w:rsidP="00867F9F">
      <w:r>
        <w:tab/>
        <w:t xml:space="preserve">I think this is right, </w:t>
      </w:r>
      <w:r w:rsidR="00AA1E47">
        <w:t xml:space="preserve">crucially important and insightful. In her aim to show why structural explanations are important and often superior to individualistic explanations, and that they are compatible with acknowledging agent autonomy, I think </w:t>
      </w:r>
      <w:r w:rsidR="002D3DFC">
        <w:t xml:space="preserve">Haslanger </w:t>
      </w:r>
      <w:r w:rsidR="00AA1E47">
        <w:t xml:space="preserve">is entirely successful. </w:t>
      </w:r>
    </w:p>
    <w:p w14:paraId="779899CF" w14:textId="77777777" w:rsidR="002F4CFC" w:rsidRDefault="002F4CFC" w:rsidP="00867F9F"/>
    <w:p w14:paraId="345195E8" w14:textId="38F0BAED" w:rsidR="002F4CFC" w:rsidRPr="002F4CFC" w:rsidRDefault="002F4CFC" w:rsidP="00867F9F">
      <w:pPr>
        <w:rPr>
          <w:b/>
        </w:rPr>
      </w:pPr>
      <w:r>
        <w:rPr>
          <w:b/>
        </w:rPr>
        <w:t>3. Broadening Social-Structural Explanations</w:t>
      </w:r>
    </w:p>
    <w:p w14:paraId="447A016C" w14:textId="7AC8517F" w:rsidR="00BF08C6" w:rsidRDefault="00BF08C6" w:rsidP="0047498D">
      <w:pPr>
        <w:ind w:firstLine="720"/>
      </w:pPr>
      <w:r>
        <w:t>But while Haslanger makes it clear that social structural explanations are compatible with acknowledging agent autonomy, there are many other cases in which the model of explanation that appeals to autonomous choices within a socially-structured choice architecture doesn’ t seem so apt:</w:t>
      </w:r>
    </w:p>
    <w:p w14:paraId="2188B920" w14:textId="3D81D7AF" w:rsidR="00A863A1" w:rsidRPr="00960A12" w:rsidRDefault="00A863A1" w:rsidP="0047498D">
      <w:pPr>
        <w:pStyle w:val="ListParagraph"/>
        <w:numPr>
          <w:ilvl w:val="0"/>
          <w:numId w:val="3"/>
        </w:numPr>
      </w:pPr>
      <w:r>
        <w:t xml:space="preserve">Why don't more women go into engineering (even when they have the skills and aren’t physically or institutionally prevented)? </w:t>
      </w:r>
    </w:p>
    <w:p w14:paraId="58619684" w14:textId="6E683022" w:rsidR="00A863A1" w:rsidRDefault="00A863A1" w:rsidP="00A863A1">
      <w:pPr>
        <w:pStyle w:val="ListParagraph"/>
        <w:numPr>
          <w:ilvl w:val="0"/>
          <w:numId w:val="3"/>
        </w:numPr>
      </w:pPr>
      <w:r>
        <w:t xml:space="preserve">Why aren’t </w:t>
      </w:r>
      <w:r w:rsidR="00D16A1A">
        <w:t xml:space="preserve">more </w:t>
      </w:r>
      <w:r>
        <w:t>working class British kids applying to Oxford</w:t>
      </w:r>
      <w:r w:rsidR="0047498D">
        <w:t xml:space="preserve"> and Cambridge</w:t>
      </w:r>
      <w:r>
        <w:t xml:space="preserve">, when they aren’t prevented, and many have the capability and could get the funding? </w:t>
      </w:r>
    </w:p>
    <w:p w14:paraId="32D83659" w14:textId="2D8620FE" w:rsidR="00A863A1" w:rsidRDefault="00D16A1A" w:rsidP="00A863A1">
      <w:pPr>
        <w:pStyle w:val="ListParagraph"/>
        <w:numPr>
          <w:ilvl w:val="0"/>
          <w:numId w:val="3"/>
        </w:numPr>
      </w:pPr>
      <w:r>
        <w:t>Why do</w:t>
      </w:r>
      <w:r w:rsidR="00A863A1">
        <w:t xml:space="preserve">n’t more women speak up in class? Why are women more often interrupted, not </w:t>
      </w:r>
      <w:r w:rsidR="00C060AA">
        <w:t xml:space="preserve">as often </w:t>
      </w:r>
      <w:r w:rsidR="00A863A1">
        <w:t xml:space="preserve">given meetings with professors, etc.? </w:t>
      </w:r>
    </w:p>
    <w:p w14:paraId="341253FD" w14:textId="6079AF24" w:rsidR="00C12E41" w:rsidRDefault="00C12E41" w:rsidP="00A863A1">
      <w:pPr>
        <w:pStyle w:val="ListParagraph"/>
        <w:numPr>
          <w:ilvl w:val="0"/>
          <w:numId w:val="3"/>
        </w:numPr>
      </w:pPr>
      <w:r>
        <w:t xml:space="preserve">Why are resumes of minority candidates evaluated as worse than those of </w:t>
      </w:r>
      <w:r w:rsidR="00D16A1A">
        <w:t xml:space="preserve">comparable </w:t>
      </w:r>
      <w:r>
        <w:t>white candidates?</w:t>
      </w:r>
    </w:p>
    <w:p w14:paraId="4EE910FF" w14:textId="2174C755" w:rsidR="005246A2" w:rsidRDefault="00C12E41" w:rsidP="00C12E41">
      <w:r>
        <w:t xml:space="preserve">I don’t mean to suggest that no choice-architecture explanations </w:t>
      </w:r>
      <w:r w:rsidRPr="005246A2">
        <w:rPr>
          <w:i/>
        </w:rPr>
        <w:t>could be</w:t>
      </w:r>
      <w:r>
        <w:t xml:space="preserve"> forthcoming for any of these ca</w:t>
      </w:r>
      <w:r w:rsidR="00BF08C6">
        <w:t>ses—perhaps by appealing to expectations of praise and blame</w:t>
      </w:r>
      <w:r w:rsidR="00D16A1A">
        <w:t xml:space="preserve"> or other social incentives</w:t>
      </w:r>
      <w:r>
        <w:t>, rather than just economic incentives</w:t>
      </w:r>
      <w:r w:rsidR="005246A2">
        <w:t xml:space="preserve">—but </w:t>
      </w:r>
      <w:r w:rsidR="00C060AA">
        <w:t xml:space="preserve">for many cases like these </w:t>
      </w:r>
      <w:r w:rsidR="005246A2">
        <w:t>they don’t seem so promising</w:t>
      </w:r>
      <w:r>
        <w:t xml:space="preserve">. </w:t>
      </w:r>
      <w:r w:rsidR="006B602B">
        <w:t xml:space="preserve">Haslanger </w:t>
      </w:r>
      <w:r w:rsidR="00BF08C6">
        <w:t xml:space="preserve">concurs, </w:t>
      </w:r>
      <w:r w:rsidR="00357227">
        <w:t xml:space="preserve">saying that the </w:t>
      </w:r>
      <w:r w:rsidR="006B602B" w:rsidRPr="00100289">
        <w:t xml:space="preserve">model </w:t>
      </w:r>
      <w:r w:rsidR="00357227">
        <w:t>that say</w:t>
      </w:r>
      <w:r w:rsidR="00772358">
        <w:t>s</w:t>
      </w:r>
      <w:r w:rsidR="00357227">
        <w:t xml:space="preserve"> merely that </w:t>
      </w:r>
      <w:r w:rsidR="006059AE">
        <w:t xml:space="preserve">“social constraints… </w:t>
      </w:r>
      <w:r w:rsidR="006B602B" w:rsidRPr="00100289">
        <w:t>have their effects by creating social expectations and anticip</w:t>
      </w:r>
      <w:r w:rsidR="00772358">
        <w:t>ation of blame and praise” (21)</w:t>
      </w:r>
      <w:r w:rsidR="006B602B" w:rsidRPr="00100289">
        <w:t xml:space="preserve"> is ‘inadequate’</w:t>
      </w:r>
      <w:r w:rsidR="00357227">
        <w:t>. A</w:t>
      </w:r>
      <w:r>
        <w:t>s is generally acknowledged, problem</w:t>
      </w:r>
      <w:r w:rsidR="00357227">
        <w:t xml:space="preserve">s like those above aren’t mainly the product of the </w:t>
      </w:r>
      <w:r>
        <w:t>people in question consider</w:t>
      </w:r>
      <w:r w:rsidR="00357227">
        <w:t>ing</w:t>
      </w:r>
      <w:r>
        <w:t xml:space="preserve"> the option but reject</w:t>
      </w:r>
      <w:r w:rsidR="00357227">
        <w:t>ing</w:t>
      </w:r>
      <w:r>
        <w:t xml:space="preserve"> it as disadvantageous given (in part) social pressures</w:t>
      </w:r>
      <w:r w:rsidR="00357227">
        <w:t xml:space="preserve">. Instead, there is a deeper problem: </w:t>
      </w:r>
      <w:r>
        <w:t>that so many girls never think of pursuing engineering, so few working class kids even consider pursuing an Oxbridge education</w:t>
      </w:r>
      <w:r w:rsidR="00357227">
        <w:t>. Similarly,</w:t>
      </w:r>
      <w:r>
        <w:t xml:space="preserve"> people not only don’t consciously and explicitly choose to interrupt women more or downgrade minority resumes, but don’t even realize they do so.</w:t>
      </w:r>
      <w:r w:rsidR="006B602B">
        <w:t xml:space="preserve"> </w:t>
      </w:r>
      <w:r w:rsidR="005246A2">
        <w:t>So we might look for a broader account of social-structural explanation</w:t>
      </w:r>
      <w:r w:rsidR="00C060AA">
        <w:t xml:space="preserve"> that can also help explain social facts like these</w:t>
      </w:r>
      <w:r w:rsidR="005246A2">
        <w:t xml:space="preserve">. </w:t>
      </w:r>
    </w:p>
    <w:p w14:paraId="3C595B20" w14:textId="7BC3BE63" w:rsidR="005246A2" w:rsidRDefault="005246A2" w:rsidP="005246A2">
      <w:pPr>
        <w:ind w:firstLine="720"/>
      </w:pPr>
      <w:r>
        <w:t xml:space="preserve">Haslanger seems to agree that social-structural explanations are not limited to the </w:t>
      </w:r>
      <w:r w:rsidR="00357227">
        <w:t xml:space="preserve">rational </w:t>
      </w:r>
      <w:r>
        <w:t>choice within a choice architecture model. Indeed as she elucidates th</w:t>
      </w:r>
      <w:r w:rsidR="00357227">
        <w:t>e account of social structures in</w:t>
      </w:r>
      <w:r>
        <w:t xml:space="preserve"> the second half of the paper, she writes:</w:t>
      </w:r>
    </w:p>
    <w:p w14:paraId="4B09A5ED" w14:textId="77777777" w:rsidR="005246A2" w:rsidRDefault="005246A2" w:rsidP="005246A2">
      <w:pPr>
        <w:ind w:left="720"/>
      </w:pPr>
      <w:r>
        <w:t>…structural constraints need not be a matter of causal processes that trigger action; social constraints set limits, organize thought and communication, create a choice architecture; in short, they structure the possibility space for agency… what we do, and what we can do, depends on [the] social structure within which we act. (18)</w:t>
      </w:r>
    </w:p>
    <w:p w14:paraId="190DC4E0" w14:textId="7E538DF6" w:rsidR="006059AE" w:rsidRDefault="005246A2" w:rsidP="005246A2">
      <w:r>
        <w:t xml:space="preserve">Here, creating a choice architecture is listed as only </w:t>
      </w:r>
      <w:r w:rsidRPr="005246A2">
        <w:rPr>
          <w:i/>
        </w:rPr>
        <w:t>one</w:t>
      </w:r>
      <w:r>
        <w:t xml:space="preserve"> of the ways in which </w:t>
      </w:r>
      <w:r w:rsidR="00D16A1A">
        <w:t>soci</w:t>
      </w:r>
      <w:r>
        <w:t xml:space="preserve">al constraints are relevant to what we do (and to explaining what we do). </w:t>
      </w:r>
      <w:r w:rsidR="00D16A1A">
        <w:t xml:space="preserve">Social constraints </w:t>
      </w:r>
      <w:r>
        <w:t xml:space="preserve">also set limits—one form this takes, which Haslanger identifies, is setting </w:t>
      </w:r>
      <w:r w:rsidRPr="00986C40">
        <w:rPr>
          <w:i/>
        </w:rPr>
        <w:t>material</w:t>
      </w:r>
      <w:r>
        <w:t xml:space="preserve"> limits in terms of what resources are available (childcare</w:t>
      </w:r>
      <w:r w:rsidR="006059AE">
        <w:t xml:space="preserve"> centers, idli steamers) (18</w:t>
      </w:r>
      <w:r w:rsidR="00986C40">
        <w:t>). They also</w:t>
      </w:r>
      <w:r w:rsidR="006059AE">
        <w:t xml:space="preserve"> ‘organ</w:t>
      </w:r>
      <w:r w:rsidR="00986C40">
        <w:t xml:space="preserve">ize thought and communication’ </w:t>
      </w:r>
      <w:r w:rsidR="00BF663B">
        <w:t>(19).</w:t>
      </w:r>
    </w:p>
    <w:p w14:paraId="53967BCC" w14:textId="319B80D0" w:rsidR="00E37E6F" w:rsidRDefault="006059AE" w:rsidP="006059AE">
      <w:pPr>
        <w:ind w:firstLine="720"/>
      </w:pPr>
      <w:r>
        <w:t>In what sense do social structures ‘organize thought and communication’</w:t>
      </w:r>
      <w:r w:rsidR="00986C40">
        <w:t>? Haslanger says less about this here, but does say that schemas ‘provide templates of interaction’ and publi</w:t>
      </w:r>
      <w:r w:rsidR="00E37E6F">
        <w:t>c meanings that ‘are not up to the individual agent but depend on collective understandings and the resources that have been organized by those understandings’ (19). I want to say a bit more about what these public meanings might be, and how they might figure in social structures and in giving other forms o</w:t>
      </w:r>
      <w:r w:rsidR="00D16A1A">
        <w:t>f social-structural explanation—explanations that don’t appeal to rational choice within a choice architecture.</w:t>
      </w:r>
    </w:p>
    <w:p w14:paraId="208C4955" w14:textId="0037CCFE" w:rsidR="00D233C1" w:rsidRDefault="00C30C00" w:rsidP="006059AE">
      <w:pPr>
        <w:ind w:firstLine="720"/>
      </w:pPr>
      <w:r>
        <w:t>I’ve</w:t>
      </w:r>
      <w:r w:rsidR="004F21A5">
        <w:t xml:space="preserve"> argued elsewhere</w:t>
      </w:r>
      <w:r w:rsidR="008308A8">
        <w:t xml:space="preserve"> (2014)</w:t>
      </w:r>
      <w:r w:rsidR="004F21A5">
        <w:t>, developing some id</w:t>
      </w:r>
      <w:r w:rsidR="008D781A">
        <w:t xml:space="preserve">eas from Heidegger </w:t>
      </w:r>
      <w:r w:rsidR="00483921">
        <w:t>(</w:t>
      </w:r>
      <w:r w:rsidR="00FD7360">
        <w:t>1927/1962</w:t>
      </w:r>
      <w:r w:rsidR="00483921">
        <w:t xml:space="preserve">) </w:t>
      </w:r>
      <w:r w:rsidR="008D781A">
        <w:t>and Ingarden</w:t>
      </w:r>
      <w:r w:rsidR="00483921">
        <w:t xml:space="preserve"> (</w:t>
      </w:r>
      <w:r w:rsidR="00FD7360">
        <w:t>1961/1989</w:t>
      </w:r>
      <w:r w:rsidR="00483921">
        <w:t>)</w:t>
      </w:r>
      <w:r w:rsidR="008D781A">
        <w:t>,</w:t>
      </w:r>
      <w:r w:rsidR="004F21A5">
        <w:t xml:space="preserve"> that norms of treatment</w:t>
      </w:r>
      <w:r w:rsidR="00D233C1">
        <w:t>—of how we are to regard and beha</w:t>
      </w:r>
      <w:r w:rsidR="00100289">
        <w:t>ve towards the relevant thing</w:t>
      </w:r>
      <w:r w:rsidR="00D233C1">
        <w:t>s—a</w:t>
      </w:r>
      <w:r w:rsidR="004F21A5">
        <w:t xml:space="preserve">re </w:t>
      </w:r>
      <w:r w:rsidR="004F21A5">
        <w:rPr>
          <w:i/>
        </w:rPr>
        <w:t xml:space="preserve">constitutive </w:t>
      </w:r>
      <w:r w:rsidR="004F21A5">
        <w:t>of our pubic artifact kind concepts.</w:t>
      </w:r>
      <w:r w:rsidR="00483921">
        <w:rPr>
          <w:rStyle w:val="FootnoteReference"/>
        </w:rPr>
        <w:footnoteReference w:id="1"/>
      </w:r>
      <w:r w:rsidR="004F21A5">
        <w:t xml:space="preserve"> Part of what it is to be a fork is to be an object that is </w:t>
      </w:r>
      <w:r w:rsidR="004F21A5" w:rsidRPr="00790FD6">
        <w:rPr>
          <w:i/>
        </w:rPr>
        <w:t>to be used</w:t>
      </w:r>
      <w:r w:rsidR="004F21A5">
        <w:t xml:space="preserve"> in certain ways, to do certain things, </w:t>
      </w:r>
      <w:r w:rsidR="00790FD6">
        <w:t>by certain (sorts of) individuals</w:t>
      </w:r>
      <w:r w:rsidR="00C060AA">
        <w:t>. P</w:t>
      </w:r>
      <w:r w:rsidR="004F21A5">
        <w:t xml:space="preserve">art of what it is to be a church (rather than a movie theatre or night club) is to be a structure that is </w:t>
      </w:r>
      <w:r w:rsidR="004F21A5" w:rsidRPr="008D781A">
        <w:rPr>
          <w:i/>
        </w:rPr>
        <w:t>to be behaved in</w:t>
      </w:r>
      <w:r w:rsidR="004F21A5">
        <w:t xml:space="preserve"> in certain ways</w:t>
      </w:r>
      <w:r w:rsidR="00790FD6">
        <w:t>—indeed in different ways by individuals occupying different nodes in a social structure (by priests versus choir members versus working electricians, sometimes by men versus women, by the confirmed and unconfirmed…)</w:t>
      </w:r>
      <w:r w:rsidR="00C060AA">
        <w:t>. P</w:t>
      </w:r>
      <w:r w:rsidR="004F21A5">
        <w:t>art of what it is to be a flag is to be a piece of cloth that is to be treated and used in some ways but not others</w:t>
      </w:r>
      <w:r w:rsidR="00790FD6">
        <w:t xml:space="preserve"> (not in the ways a dishcloth or tablecloth is to be treated)</w:t>
      </w:r>
      <w:r w:rsidR="00FD7360">
        <w:t xml:space="preserve"> (Ingarden 1961/1989, 260)</w:t>
      </w:r>
      <w:r w:rsidR="004F21A5">
        <w:t xml:space="preserve">. </w:t>
      </w:r>
    </w:p>
    <w:p w14:paraId="1FE554A9" w14:textId="01EDCED5" w:rsidR="002D227E" w:rsidRDefault="00D233C1" w:rsidP="00867F9F">
      <w:r>
        <w:tab/>
      </w:r>
      <w:r w:rsidR="00E37E6F">
        <w:t xml:space="preserve">Generalizing this, one might hold that </w:t>
      </w:r>
      <w:r w:rsidR="00D16A1A">
        <w:t xml:space="preserve">at least many of the </w:t>
      </w:r>
      <w:r w:rsidR="00E37E6F">
        <w:t>meaningful categories by means of which we navigate our social world (not merely ‘think’ about it) are intrinsically normative, building in ways in which we are to regard, to treat, to behave towards individuals and objects that occupy various nodes in the structure</w:t>
      </w:r>
      <w:r w:rsidR="00C060AA">
        <w:t xml:space="preserve"> (as well as ways the occupants of various nodes are themselves to behave)</w:t>
      </w:r>
      <w:r w:rsidR="00E37E6F">
        <w:t>.</w:t>
      </w:r>
      <w:r w:rsidR="00E37E6F">
        <w:rPr>
          <w:rStyle w:val="FootnoteReference"/>
        </w:rPr>
        <w:footnoteReference w:id="2"/>
      </w:r>
      <w:r w:rsidR="00E37E6F">
        <w:t xml:space="preserve"> </w:t>
      </w:r>
      <w:r w:rsidR="004F21A5">
        <w:t xml:space="preserve">So similarly, I would suggest, social roles that form nodes in social structures are in part constituted by norms: part of what it is to be a police officer, a professor, </w:t>
      </w:r>
      <w:r w:rsidR="00100289">
        <w:t xml:space="preserve">a priest, </w:t>
      </w:r>
      <w:r w:rsidR="004F21A5">
        <w:t xml:space="preserve">or a waitress is to be someone </w:t>
      </w:r>
      <w:r w:rsidR="004F21A5">
        <w:rPr>
          <w:i/>
        </w:rPr>
        <w:t xml:space="preserve">to be regarded and behaved towards </w:t>
      </w:r>
      <w:r w:rsidR="004F21A5">
        <w:t>in specific ways (quite different from each other)</w:t>
      </w:r>
      <w:r w:rsidR="006D4235">
        <w:t xml:space="preserve">—as well as to be someone who is </w:t>
      </w:r>
      <w:r w:rsidR="006D4235">
        <w:rPr>
          <w:i/>
        </w:rPr>
        <w:t xml:space="preserve">to behave </w:t>
      </w:r>
      <w:r w:rsidR="006D4235">
        <w:t>in some ways rather than others</w:t>
      </w:r>
      <w:r w:rsidR="004F21A5">
        <w:t>.</w:t>
      </w:r>
      <w:r w:rsidR="0062150C">
        <w:rPr>
          <w:rStyle w:val="FootnoteReference"/>
        </w:rPr>
        <w:footnoteReference w:id="3"/>
      </w:r>
      <w:r w:rsidR="004F21A5">
        <w:t xml:space="preserve"> </w:t>
      </w:r>
      <w:r w:rsidR="0083185A">
        <w:t xml:space="preserve">Social structural explanations, as Haslanger presents them, involve understanding ‘the individual as the instance of a type’ (20). What I </w:t>
      </w:r>
      <w:r w:rsidR="002D227E">
        <w:t xml:space="preserve">am suggesting </w:t>
      </w:r>
      <w:r w:rsidR="0083185A">
        <w:t>is that</w:t>
      </w:r>
      <w:r w:rsidR="00C060AA">
        <w:t>, for many social types,</w:t>
      </w:r>
      <w:r w:rsidR="0083185A">
        <w:t xml:space="preserve"> part of understanding what it is to be an instance of </w:t>
      </w:r>
      <w:r w:rsidR="00C060AA">
        <w:t xml:space="preserve">the </w:t>
      </w:r>
      <w:r w:rsidR="0083185A">
        <w:t>type is understanding the norms governing members of the type: what they are to pursue, to avoid, how they are to behave, how they are to regard people and objects that belong to other social categories…, and how others are to regard and behave towards them</w:t>
      </w:r>
      <w:r w:rsidR="002D227E">
        <w:t>.</w:t>
      </w:r>
    </w:p>
    <w:p w14:paraId="1B24632D" w14:textId="77777777" w:rsidR="00C060AA" w:rsidRDefault="004F21A5" w:rsidP="003C61C1">
      <w:pPr>
        <w:ind w:firstLine="720"/>
      </w:pPr>
      <w:r>
        <w:t xml:space="preserve">Part of the insidious nature of social </w:t>
      </w:r>
      <w:r w:rsidR="006D4235">
        <w:t xml:space="preserve">nodes </w:t>
      </w:r>
      <w:r w:rsidR="007A53E7">
        <w:t>(of gender, race, class…) we identify</w:t>
      </w:r>
      <w:r w:rsidR="006D4235">
        <w:t xml:space="preserve"> by sex</w:t>
      </w:r>
      <w:r>
        <w:t xml:space="preserve">, </w:t>
      </w:r>
      <w:r w:rsidR="007A53E7">
        <w:t xml:space="preserve">appearance, </w:t>
      </w:r>
      <w:r>
        <w:t xml:space="preserve">national </w:t>
      </w:r>
      <w:r w:rsidR="006D4235">
        <w:t xml:space="preserve">or historical </w:t>
      </w:r>
      <w:r>
        <w:t xml:space="preserve">origin, income, and the like is that they, too, </w:t>
      </w:r>
      <w:r w:rsidR="00E37E6F">
        <w:t xml:space="preserve">come with </w:t>
      </w:r>
      <w:r>
        <w:t>norms</w:t>
      </w:r>
      <w:r w:rsidR="002D227E">
        <w:t xml:space="preserve"> </w:t>
      </w:r>
      <w:r>
        <w:t xml:space="preserve">for behavior </w:t>
      </w:r>
      <w:r w:rsidR="00D233C1">
        <w:t xml:space="preserve">towards </w:t>
      </w:r>
      <w:r>
        <w:t>and regard of the relevant individuals.</w:t>
      </w:r>
      <w:r w:rsidR="00E37E6F">
        <w:rPr>
          <w:rStyle w:val="FootnoteReference"/>
        </w:rPr>
        <w:footnoteReference w:id="4"/>
      </w:r>
      <w:r w:rsidR="00E37E6F">
        <w:t xml:space="preserve"> </w:t>
      </w:r>
      <w:r>
        <w:t>The norms for behavior towards women</w:t>
      </w:r>
      <w:r w:rsidR="00100289">
        <w:t xml:space="preserve"> differ from those for behavior towards men</w:t>
      </w:r>
      <w:r>
        <w:t xml:space="preserve">: even </w:t>
      </w:r>
      <w:r w:rsidR="00100289">
        <w:t xml:space="preserve">in </w:t>
      </w:r>
      <w:r>
        <w:t>tiny, seldom noti</w:t>
      </w:r>
      <w:r w:rsidR="00100289">
        <w:t>ced (but well documented) ways</w:t>
      </w:r>
      <w:r>
        <w:t xml:space="preserve"> such as </w:t>
      </w:r>
      <w:r w:rsidR="00A71EB3">
        <w:t xml:space="preserve">in what ways they are </w:t>
      </w:r>
      <w:r w:rsidR="00A71EB3">
        <w:rPr>
          <w:i/>
        </w:rPr>
        <w:t xml:space="preserve">to be attended to </w:t>
      </w:r>
      <w:r w:rsidR="00A71EB3">
        <w:t>in conversation (when or whether it is ok to interrupt or talk over</w:t>
      </w:r>
      <w:r w:rsidR="00100289">
        <w:t xml:space="preserve"> them</w:t>
      </w:r>
      <w:r w:rsidR="00A71EB3">
        <w:t>, when close attention must be paid, etc.)</w:t>
      </w:r>
      <w:r w:rsidR="00D233C1">
        <w:t xml:space="preserve">, when one is </w:t>
      </w:r>
      <w:r w:rsidR="00D233C1">
        <w:rPr>
          <w:i/>
        </w:rPr>
        <w:t xml:space="preserve">to defer </w:t>
      </w:r>
      <w:r w:rsidR="00D233C1">
        <w:t xml:space="preserve">or free </w:t>
      </w:r>
      <w:r w:rsidR="00D233C1">
        <w:rPr>
          <w:i/>
        </w:rPr>
        <w:t xml:space="preserve">to contradict, </w:t>
      </w:r>
      <w:r w:rsidR="00FA4F19">
        <w:t xml:space="preserve">how they are </w:t>
      </w:r>
      <w:r w:rsidR="00FA4F19" w:rsidRPr="008D781A">
        <w:rPr>
          <w:i/>
        </w:rPr>
        <w:t>to be</w:t>
      </w:r>
      <w:r w:rsidR="00FA4F19">
        <w:t xml:space="preserve"> compensated for their work, </w:t>
      </w:r>
      <w:r w:rsidR="00100289">
        <w:t xml:space="preserve">as well as what the individuals themselves </w:t>
      </w:r>
      <w:r w:rsidR="00D233C1">
        <w:t xml:space="preserve">are </w:t>
      </w:r>
      <w:r w:rsidR="00D233C1">
        <w:rPr>
          <w:i/>
        </w:rPr>
        <w:t>to do</w:t>
      </w:r>
      <w:r w:rsidR="00100289">
        <w:rPr>
          <w:i/>
        </w:rPr>
        <w:t xml:space="preserve"> </w:t>
      </w:r>
      <w:r w:rsidR="00100289">
        <w:t>in various contexts, towards various individuals</w:t>
      </w:r>
      <w:r w:rsidR="000015DF">
        <w:t xml:space="preserve"> (parallel points could no doubt be made about norms for treatment of people of different racial groups</w:t>
      </w:r>
      <w:r w:rsidR="00180CF4">
        <w:t xml:space="preserve"> in particular societies</w:t>
      </w:r>
      <w:r w:rsidR="000015DF">
        <w:t>).</w:t>
      </w:r>
      <w:r w:rsidR="003C61C1">
        <w:t xml:space="preserve"> </w:t>
      </w:r>
    </w:p>
    <w:p w14:paraId="0320DF25" w14:textId="5DFD65C1" w:rsidR="00C30C00" w:rsidRDefault="003C61C1" w:rsidP="003C61C1">
      <w:pPr>
        <w:ind w:firstLine="720"/>
      </w:pPr>
      <w:r>
        <w:t xml:space="preserve">The idea that our social categories are linked to behavioral norms is one Haslanger herself has suggested elsewhere: </w:t>
      </w:r>
    </w:p>
    <w:p w14:paraId="285B62FE" w14:textId="182105EB" w:rsidR="003C61C1" w:rsidRDefault="003C61C1" w:rsidP="003C61C1">
      <w:pPr>
        <w:ind w:left="720"/>
      </w:pPr>
      <w:r>
        <w:t>Typically, the act of classifying someone as a member of a social group invokes a set of ‘appropriate’ (contextually specific) norms and expectations. It positions her in a social framework and makes available certain kinds of evaluation; in short, it carries prescriptive force. (2012, 241)</w:t>
      </w:r>
    </w:p>
    <w:p w14:paraId="45ECCD15" w14:textId="439AF001" w:rsidR="003C61C1" w:rsidRDefault="003C61C1" w:rsidP="00867F9F">
      <w:r>
        <w:t xml:space="preserve">What I aim to do is to suggest how this idea may play a key role in broadening the role social structures can play in our explanations beyond the methods Haslanger </w:t>
      </w:r>
      <w:r w:rsidR="00D669EC">
        <w:t xml:space="preserve">identifies </w:t>
      </w:r>
      <w:r>
        <w:t>in the present paper</w:t>
      </w:r>
      <w:r w:rsidR="00D669EC">
        <w:t>, where the focus is on the way in which social structures create an architecture within which explicit rational conscious choices are made</w:t>
      </w:r>
      <w:r>
        <w:t>.</w:t>
      </w:r>
    </w:p>
    <w:p w14:paraId="0129AFDD" w14:textId="5D3574A1" w:rsidR="007E3429" w:rsidRDefault="008D781A" w:rsidP="00867F9F">
      <w:r>
        <w:tab/>
      </w:r>
      <w:r w:rsidR="003C61C1">
        <w:t xml:space="preserve">I have been suggesting that </w:t>
      </w:r>
      <w:r w:rsidR="002D227E">
        <w:t>s</w:t>
      </w:r>
      <w:r w:rsidR="00813B81">
        <w:t>ocial structures, and the nodes (and resources) within them</w:t>
      </w:r>
      <w:r w:rsidR="003C61C1">
        <w:t xml:space="preserve"> </w:t>
      </w:r>
      <w:r w:rsidR="00813B81">
        <w:t xml:space="preserve">are </w:t>
      </w:r>
      <w:r w:rsidR="00150725">
        <w:t xml:space="preserve">at least in part </w:t>
      </w:r>
      <w:r w:rsidR="00813B81">
        <w:t>structured by norms.</w:t>
      </w:r>
      <w:r w:rsidR="000A3795">
        <w:t xml:space="preserve"> Social practices, too, are normative in ways that matter. Haslanger describes social p</w:t>
      </w:r>
      <w:r w:rsidR="00E90E8F">
        <w:t xml:space="preserve">ractices (in the central cases) </w:t>
      </w:r>
      <w:r w:rsidR="000A3795">
        <w:t>as</w:t>
      </w:r>
      <w:r w:rsidR="002D227E">
        <w:t xml:space="preserve"> </w:t>
      </w:r>
      <w:r w:rsidR="00E90E8F">
        <w:t>‘collective solutions to coordination or access p</w:t>
      </w:r>
      <w:r w:rsidR="00943BC3">
        <w:t>ro</w:t>
      </w:r>
      <w:r w:rsidR="00E90E8F">
        <w:t xml:space="preserve">blems with respect to a </w:t>
      </w:r>
      <w:r w:rsidR="00E90E8F">
        <w:rPr>
          <w:i/>
        </w:rPr>
        <w:t xml:space="preserve">resource’. </w:t>
      </w:r>
      <w:r w:rsidR="000A3795" w:rsidRPr="000A3795">
        <w:t>But she</w:t>
      </w:r>
      <w:r w:rsidR="000A3795">
        <w:rPr>
          <w:i/>
        </w:rPr>
        <w:t xml:space="preserve"> </w:t>
      </w:r>
      <w:r w:rsidR="00E90E8F">
        <w:t>herself marks various reservations about this</w:t>
      </w:r>
      <w:r w:rsidR="00433BB2">
        <w:t xml:space="preserve"> idea in a footnote (p.</w:t>
      </w:r>
      <w:r w:rsidR="00E90E8F">
        <w:t>16n 10); I think we should have even more. Social practices certainly need not involve solutions that are ‘rationa</w:t>
      </w:r>
      <w:r>
        <w:t>l or mutually advantageous’ (p.</w:t>
      </w:r>
      <w:r w:rsidR="00E90E8F">
        <w:t xml:space="preserve">16n10), and they </w:t>
      </w:r>
      <w:r w:rsidR="000A3795">
        <w:t xml:space="preserve">do </w:t>
      </w:r>
      <w:r w:rsidR="00E90E8F">
        <w:t>have an explicitly normative dimension</w:t>
      </w:r>
      <w:r w:rsidR="00C060AA">
        <w:t xml:space="preserve"> not captured in the standard definition</w:t>
      </w:r>
      <w:r w:rsidR="00E90E8F">
        <w:t xml:space="preserve">: they involve ways things are </w:t>
      </w:r>
      <w:r w:rsidR="00E90E8F">
        <w:rPr>
          <w:i/>
        </w:rPr>
        <w:t xml:space="preserve">to be done </w:t>
      </w:r>
      <w:r w:rsidR="00E90E8F">
        <w:t xml:space="preserve">around here. </w:t>
      </w:r>
    </w:p>
    <w:p w14:paraId="7D4F8E11" w14:textId="1A3321CD" w:rsidR="00943BC3" w:rsidRDefault="007E3429" w:rsidP="007E3429">
      <w:pPr>
        <w:ind w:firstLine="720"/>
      </w:pPr>
      <w:r>
        <w:t>Haslanger suggests that schemas are</w:t>
      </w:r>
      <w:r w:rsidR="00E90E8F">
        <w:t xml:space="preserve"> ‘social meanings conventionally associated with things in our social world… but are also internalized</w:t>
      </w:r>
      <w:r>
        <w:t xml:space="preserve"> and guide</w:t>
      </w:r>
      <w:r w:rsidR="000A3795">
        <w:t xml:space="preserve"> our behavior’.</w:t>
      </w:r>
      <w:r>
        <w:t xml:space="preserve"> If we accept the idea that these social meanings and practices are normative, we can more easily see how </w:t>
      </w:r>
      <w:r w:rsidR="00FB1166">
        <w:t>these meanings (which ‘are not up to the individual agent’ (19))</w:t>
      </w:r>
      <w:r>
        <w:t xml:space="preserve"> guide our behavior.</w:t>
      </w:r>
      <w:r w:rsidR="00E90E8F">
        <w:t xml:space="preserve"> </w:t>
      </w:r>
      <w:r w:rsidR="00FB1166">
        <w:t xml:space="preserve">If we think of the very categories we employ to grasp the social world, which are constitutive of what it is to be a fork, a teacher, or a wife, as normative, involving ways one is to use, regard, treat… members of the category, it is easy to see how they may </w:t>
      </w:r>
      <w:r w:rsidR="00E90E8F">
        <w:t xml:space="preserve">guide our behavior by </w:t>
      </w:r>
      <w:r w:rsidR="00FB1166">
        <w:t xml:space="preserve">making </w:t>
      </w:r>
      <w:r w:rsidR="00E90E8F">
        <w:t>certain forms of activity show up as to-</w:t>
      </w:r>
      <w:r w:rsidR="00FB1166">
        <w:t>be-done, or to-be-avoided, or</w:t>
      </w:r>
      <w:r w:rsidR="00E90E8F">
        <w:t xml:space="preserve"> not show up at all. </w:t>
      </w:r>
      <w:r w:rsidR="00FF10E1">
        <w:t>What we are to do is written all over the social world</w:t>
      </w:r>
      <w:r w:rsidR="00FB1166">
        <w:t xml:space="preserve">—in </w:t>
      </w:r>
      <w:r w:rsidR="00D16A1A">
        <w:t xml:space="preserve">simply </w:t>
      </w:r>
      <w:r w:rsidR="00FB1166">
        <w:t>grasping social meanings and categories, we see what we are to-do</w:t>
      </w:r>
      <w:r w:rsidR="00FF10E1">
        <w:t>.</w:t>
      </w:r>
      <w:r w:rsidR="00FB1166">
        <w:t xml:space="preserve"> </w:t>
      </w:r>
      <w:r>
        <w:t>(</w:t>
      </w:r>
      <w:r w:rsidR="00FB1166">
        <w:t xml:space="preserve">This doesn’t mean of course that one can’t rebel, reject the tugs of such signs and norms—but to do so requires resistance, </w:t>
      </w:r>
      <w:r w:rsidR="002D227E">
        <w:t xml:space="preserve">thought, </w:t>
      </w:r>
      <w:r w:rsidR="00FB1166">
        <w:t>effort, not just following the well-greased channels.</w:t>
      </w:r>
      <w:r>
        <w:t>)</w:t>
      </w:r>
      <w:r w:rsidR="00FB1166">
        <w:t xml:space="preserve"> </w:t>
      </w:r>
      <w:r w:rsidR="00FF10E1">
        <w:t xml:space="preserve"> </w:t>
      </w:r>
    </w:p>
    <w:p w14:paraId="19880CE4" w14:textId="02057816" w:rsidR="00137C08" w:rsidRDefault="00FF10E1" w:rsidP="00943BC3">
      <w:pPr>
        <w:ind w:firstLine="720"/>
      </w:pPr>
      <w:r>
        <w:t xml:space="preserve">A nice feature of this phenomenological approach is that it enables us to explain patterns of behavior without either treating </w:t>
      </w:r>
      <w:r w:rsidR="00943BC3">
        <w:t xml:space="preserve">everything we do </w:t>
      </w:r>
      <w:r>
        <w:t>as the product of explicitly considered rational choice</w:t>
      </w:r>
      <w:r w:rsidR="00943BC3">
        <w:t xml:space="preserve"> (even within a socially structured choice architecture), </w:t>
      </w:r>
      <w:r>
        <w:t xml:space="preserve">or as mere mechanistic </w:t>
      </w:r>
      <w:r w:rsidR="00943BC3">
        <w:t>behavior</w:t>
      </w:r>
      <w:r w:rsidR="00F91F28">
        <w:t xml:space="preserve"> or </w:t>
      </w:r>
      <w:r w:rsidR="00137C08">
        <w:t xml:space="preserve">the product of </w:t>
      </w:r>
      <w:r w:rsidR="00F91F28">
        <w:t>blind dispositions</w:t>
      </w:r>
      <w:r>
        <w:t xml:space="preserve">. </w:t>
      </w:r>
      <w:r w:rsidR="00137C08">
        <w:t>We do not consider all of the various things that could be done with a fork and then decide to eat with it; nor do we (except in strange circumstances) consider all of the various ways we could eat our food and decide to use a for</w:t>
      </w:r>
      <w:r w:rsidR="00C060AA">
        <w:t xml:space="preserve">k to eat on grounds of rationally considered </w:t>
      </w:r>
      <w:r w:rsidR="00137C08">
        <w:t>preferences (we continue to use it even when no one else is around to scorn us, and</w:t>
      </w:r>
      <w:r w:rsidR="00D16A1A">
        <w:t xml:space="preserve"> when</w:t>
      </w:r>
      <w:r w:rsidR="00137C08">
        <w:t xml:space="preserve"> efficiency would call for other methods). In seeing it as a fork, we simply see it as something to be used in eating, and (unless we make a conscientious decision to rebel) proceed accordingly. </w:t>
      </w:r>
      <w:r>
        <w:t xml:space="preserve">The little girl who rushes to the pink aisles of the toy store and comes to examine the baby dolls and vacuums rather than the trucks and </w:t>
      </w:r>
      <w:r w:rsidR="008D781A">
        <w:t xml:space="preserve">construction toys </w:t>
      </w:r>
      <w:r>
        <w:t>does not make an explicit rational choice that these things</w:t>
      </w:r>
      <w:r w:rsidR="00137C08">
        <w:t xml:space="preserve"> are preferable</w:t>
      </w:r>
      <w:r>
        <w:t>; nor is she simply ‘programmed’ by nature or society: instead, given her in</w:t>
      </w:r>
      <w:r w:rsidR="00180CF4">
        <w:t>itiation</w:t>
      </w:r>
      <w:r>
        <w:t xml:space="preserve"> into local social practices, the toys of the pink aisles simply show up </w:t>
      </w:r>
      <w:r w:rsidR="00180CF4">
        <w:t xml:space="preserve">to her </w:t>
      </w:r>
      <w:r>
        <w:t>as ‘for her’,</w:t>
      </w:r>
      <w:r w:rsidR="00943BC3">
        <w:t xml:space="preserve"> as</w:t>
      </w:r>
      <w:r>
        <w:t xml:space="preserve"> ‘to be p</w:t>
      </w:r>
      <w:r w:rsidR="00137C08">
        <w:t>layed with</w:t>
      </w:r>
      <w:r>
        <w:t>’</w:t>
      </w:r>
      <w:r w:rsidR="00943BC3">
        <w:t xml:space="preserve">. </w:t>
      </w:r>
    </w:p>
    <w:p w14:paraId="52BB2115" w14:textId="5C246668" w:rsidR="00943BC3" w:rsidRDefault="00CC49CF" w:rsidP="00D669EC">
      <w:pPr>
        <w:ind w:firstLine="720"/>
      </w:pPr>
      <w:r>
        <w:t>Do such explanations that go beyond the choice-within-a-choice-architecture model interfere with the idea that agents ‘behave in an agent-autonomous way’? I</w:t>
      </w:r>
      <w:r w:rsidR="0062150C">
        <w:t>t depends what is meant by that. If the autonomy constraint means that all social explanations must just go via seeing the action as the product of a conscious rational choice among all the (physical) possibilities, then that is a model we have good empirical (and phenomenological) reason to do away with</w:t>
      </w:r>
      <w:r w:rsidR="00D669EC">
        <w:t xml:space="preserve"> (as I am sure Haslanger agrees)</w:t>
      </w:r>
      <w:r w:rsidR="0062150C">
        <w:t>. On the other hand, we certainly</w:t>
      </w:r>
      <w:r>
        <w:t xml:space="preserve"> can accept that social structures make some options show up as ‘live options’, </w:t>
      </w:r>
      <w:r w:rsidR="00D16A1A">
        <w:t xml:space="preserve">still others as to-be-pursued or avoided, </w:t>
      </w:r>
      <w:r>
        <w:t xml:space="preserve">while others are never noticed—without denying that agents choose or are self-moving actors. And we can accept that norms shape how we see ourselves, what behaviors show up to us as appropriate or inappropriate, coarse or polite or off-limits or simply weird, without mechanistically treating people as cause-effect cogs in purely mechanistic explanations. This analysis, after all, comes from phenomenology, from understanding people’s experience from the first-person point of view. But it is a first-person perspective in which some thing show up as to-be-done and others as to-be-avoided, or objects or people show up as to-be-treated-in-this-way-or-that. Understood in this way, </w:t>
      </w:r>
      <w:r w:rsidR="00D669EC">
        <w:t xml:space="preserve">phenomenology can play a key role in giving social structural explanations, pointing to ways in which </w:t>
      </w:r>
      <w:r>
        <w:t xml:space="preserve">social structures not </w:t>
      </w:r>
      <w:r w:rsidR="00D669EC">
        <w:t>only create choice-architectures,</w:t>
      </w:r>
      <w:r>
        <w:t xml:space="preserve"> but </w:t>
      </w:r>
      <w:r w:rsidR="00D669EC">
        <w:t xml:space="preserve">shape </w:t>
      </w:r>
      <w:r>
        <w:t xml:space="preserve">our very perception of what choices there are, of what the proper ways of treating objects and individuals are, of what we are to do. </w:t>
      </w:r>
      <w:r w:rsidR="00137C08">
        <w:t>These norms guide our behavior in ways that we often don’t explicitly and consciously recognize, and that don’t even require or call for considering various possibilities according to their costs and benefits and rationally choosing among them within a choice architecture.</w:t>
      </w:r>
      <w:r w:rsidR="0062150C">
        <w:rPr>
          <w:rStyle w:val="FootnoteReference"/>
        </w:rPr>
        <w:footnoteReference w:id="5"/>
      </w:r>
      <w:r w:rsidR="00137C08">
        <w:t xml:space="preserve"> </w:t>
      </w:r>
    </w:p>
    <w:p w14:paraId="7605CE9A" w14:textId="2120B1F7" w:rsidR="008F0A0B" w:rsidRDefault="00D93131" w:rsidP="00D93131">
      <w:pPr>
        <w:ind w:firstLine="720"/>
      </w:pPr>
      <w:r>
        <w:t>Acknowledging these built-in</w:t>
      </w:r>
      <w:r w:rsidR="009B4052">
        <w:t xml:space="preserve"> norms might figure into social explanations in a variety of ways: </w:t>
      </w:r>
    </w:p>
    <w:p w14:paraId="4DA473C0" w14:textId="123B72A1" w:rsidR="009B4052" w:rsidRDefault="00911421" w:rsidP="008F0A0B">
      <w:pPr>
        <w:pStyle w:val="ListParagraph"/>
        <w:numPr>
          <w:ilvl w:val="0"/>
          <w:numId w:val="2"/>
        </w:numPr>
      </w:pPr>
      <w:r>
        <w:t>In</w:t>
      </w:r>
      <w:r w:rsidR="009B4052">
        <w:t xml:space="preserve"> determining which (among the various </w:t>
      </w:r>
      <w:r w:rsidR="009B4052" w:rsidRPr="008F0A0B">
        <w:rPr>
          <w:i/>
        </w:rPr>
        <w:t>possible</w:t>
      </w:r>
      <w:r w:rsidR="009B4052">
        <w:t xml:space="preserve"> choices</w:t>
      </w:r>
      <w:r w:rsidR="00813B81">
        <w:t xml:space="preserve"> in a choice architecture</w:t>
      </w:r>
      <w:r w:rsidR="009B4052">
        <w:t>) even show up to us</w:t>
      </w:r>
      <w:r w:rsidR="00813B81">
        <w:t xml:space="preserve"> as ‘live options’ for pursuing</w:t>
      </w:r>
      <w:r w:rsidR="008F0A0B">
        <w:t xml:space="preserve">. </w:t>
      </w:r>
    </w:p>
    <w:p w14:paraId="7635884E" w14:textId="7B797EBE" w:rsidR="008F0A0B" w:rsidRDefault="00911421" w:rsidP="008F0A0B">
      <w:pPr>
        <w:pStyle w:val="ListParagraph"/>
        <w:numPr>
          <w:ilvl w:val="0"/>
          <w:numId w:val="2"/>
        </w:numPr>
      </w:pPr>
      <w:r>
        <w:t>In</w:t>
      </w:r>
      <w:r w:rsidR="008F0A0B">
        <w:t xml:space="preserve"> channeling the ways we</w:t>
      </w:r>
      <w:r w:rsidR="00FB1166">
        <w:t xml:space="preserve"> navigate our social world</w:t>
      </w:r>
      <w:r w:rsidR="008F0A0B">
        <w:t xml:space="preserve">, even when we are not making explicit and conscious choices among options </w:t>
      </w:r>
      <w:r w:rsidR="00813B81">
        <w:t xml:space="preserve">that </w:t>
      </w:r>
      <w:r w:rsidR="008F0A0B">
        <w:t xml:space="preserve">we weigh in a choice architecture </w:t>
      </w:r>
      <w:r w:rsidR="00813B81">
        <w:t xml:space="preserve">based on our beliefs and desires. </w:t>
      </w:r>
      <w:r w:rsidR="008F0A0B">
        <w:t>(</w:t>
      </w:r>
      <w:r w:rsidR="00813B81">
        <w:t>E.g. Norms shape</w:t>
      </w:r>
      <w:r w:rsidR="00137C08">
        <w:t xml:space="preserve"> the </w:t>
      </w:r>
      <w:r w:rsidR="008F0A0B">
        <w:t>way</w:t>
      </w:r>
      <w:r w:rsidR="00137C08">
        <w:t xml:space="preserve"> children navigate a toy store, and the way adults</w:t>
      </w:r>
      <w:r w:rsidR="008F0A0B">
        <w:t xml:space="preserve"> sit, move, and speak in a job interview, in a classroom, etc., in ways that </w:t>
      </w:r>
      <w:r w:rsidR="00813B81">
        <w:t xml:space="preserve">we generally don’t consciously choose, and that do </w:t>
      </w:r>
      <w:r w:rsidR="008F0A0B">
        <w:t xml:space="preserve">affect our potential for success). </w:t>
      </w:r>
    </w:p>
    <w:p w14:paraId="69194DE8" w14:textId="0B55E2BF" w:rsidR="008F0A0B" w:rsidRDefault="00911421" w:rsidP="008F0A0B">
      <w:pPr>
        <w:pStyle w:val="ListParagraph"/>
        <w:numPr>
          <w:ilvl w:val="0"/>
          <w:numId w:val="2"/>
        </w:numPr>
      </w:pPr>
      <w:r>
        <w:t>In</w:t>
      </w:r>
      <w:r w:rsidR="008F0A0B">
        <w:t xml:space="preserve"> channeling the ways others </w:t>
      </w:r>
      <w:r w:rsidR="00FB1166">
        <w:t>regard and interact with</w:t>
      </w:r>
      <w:r w:rsidR="008F0A0B">
        <w:t xml:space="preserve"> us (interrupting, deferring, </w:t>
      </w:r>
      <w:r>
        <w:t>attending</w:t>
      </w:r>
      <w:r w:rsidR="008F0A0B">
        <w:t xml:space="preserve"> to, criticizing, shunning</w:t>
      </w:r>
      <w:r w:rsidR="007A53E7">
        <w:t>, fearing</w:t>
      </w:r>
      <w:r w:rsidR="008F0A0B">
        <w:t xml:space="preserve">)—again, often in ways that aren’t consciously chosen or even acknowledged. </w:t>
      </w:r>
    </w:p>
    <w:p w14:paraId="2D569BB4" w14:textId="70C587C1" w:rsidR="007A53E7" w:rsidRDefault="008F0A0B" w:rsidP="008F0A0B">
      <w:r>
        <w:t xml:space="preserve">The first two ways might be seen as ways in which social structures (the normatively-constituted nodes we occupy) may figure in social explanations that don’t go via the belief/desire/choice-within-a-choice-architecture model.  For they shape our behavior in ways in which we typically don’t notice at all—and that don't figure into our conscious choice among items in a choice architecture. </w:t>
      </w:r>
      <w:r w:rsidR="00813B81">
        <w:t>The third might be seen as another factor that structures</w:t>
      </w:r>
      <w:r>
        <w:t xml:space="preserve"> the choice architecture: e.g. given the norms of the social node associated with a professional woman, a female manager can’t </w:t>
      </w:r>
      <w:r w:rsidR="00813B81">
        <w:t xml:space="preserve">choose to </w:t>
      </w:r>
      <w:r>
        <w:t xml:space="preserve">both act as aggressively as </w:t>
      </w:r>
      <w:r w:rsidR="00061DA2">
        <w:t xml:space="preserve">male managers </w:t>
      </w:r>
      <w:r>
        <w:t>and be liked (a male manager can).</w:t>
      </w:r>
      <w:r w:rsidR="007A53E7">
        <w:t xml:space="preserve"> A young African-</w:t>
      </w:r>
      <w:r w:rsidR="00406C1F">
        <w:t>American</w:t>
      </w:r>
      <w:r w:rsidR="007A53E7">
        <w:t xml:space="preserve"> man can’t choose to both walk through certain white neighborhoods in a hoodie and be regarded without suspicion; a young white man can.</w:t>
      </w:r>
    </w:p>
    <w:p w14:paraId="259733F0" w14:textId="22831F39" w:rsidR="00D911C7" w:rsidRDefault="008F0A0B" w:rsidP="00867F9F">
      <w:r>
        <w:tab/>
        <w:t xml:space="preserve"> </w:t>
      </w:r>
      <w:r w:rsidR="00CC49CF">
        <w:t>Calling attention to the role these norms play also opens room for different kinds of critique and intervention, complementary to those we can get by loo</w:t>
      </w:r>
      <w:r w:rsidR="00D16A1A">
        <w:t>king at the choice architecture</w:t>
      </w:r>
      <w:r w:rsidR="00CC49CF">
        <w:t xml:space="preserve">. For, once brought to light, we can critique the forms of injustice and practical problems that these subtle built-in norms can lead to (not only leading to a situation when fewer girls end up in well-paying jobs, but where there simply aren’t enough people going into engineering). Moreover, while </w:t>
      </w:r>
      <w:r w:rsidR="00D16A1A">
        <w:t xml:space="preserve">these </w:t>
      </w:r>
      <w:r w:rsidR="00C60DF6">
        <w:t xml:space="preserve">norms </w:t>
      </w:r>
      <w:r w:rsidR="00061DA2">
        <w:t>make certain ways of engaging with those who</w:t>
      </w:r>
      <w:r w:rsidR="00DC74AB">
        <w:t xml:space="preserve"> occupy various nodes to-be-pursued</w:t>
      </w:r>
      <w:r w:rsidR="00061DA2">
        <w:t xml:space="preserve"> or to-be-avoided</w:t>
      </w:r>
      <w:r w:rsidR="00D16A1A">
        <w:t>, that</w:t>
      </w:r>
      <w:r w:rsidR="00C60DF6">
        <w:t xml:space="preserve"> of </w:t>
      </w:r>
      <w:r w:rsidR="0070094B">
        <w:t xml:space="preserve">course </w:t>
      </w:r>
      <w:r w:rsidR="00D16A1A">
        <w:t xml:space="preserve">is </w:t>
      </w:r>
      <w:r w:rsidR="0070094B">
        <w:t xml:space="preserve">not to say </w:t>
      </w:r>
      <w:r w:rsidR="00061DA2">
        <w:t xml:space="preserve">that we have </w:t>
      </w:r>
      <w:r w:rsidR="0070094B" w:rsidRPr="007A53E7">
        <w:rPr>
          <w:i/>
        </w:rPr>
        <w:t>good</w:t>
      </w:r>
      <w:r w:rsidR="0070094B">
        <w:t xml:space="preserve"> or </w:t>
      </w:r>
      <w:r w:rsidR="0070094B" w:rsidRPr="007A53E7">
        <w:rPr>
          <w:i/>
        </w:rPr>
        <w:t>moral</w:t>
      </w:r>
      <w:r w:rsidR="00DC74AB">
        <w:t xml:space="preserve"> reasons for acting </w:t>
      </w:r>
      <w:r w:rsidR="00061DA2">
        <w:t>in these ways</w:t>
      </w:r>
      <w:r w:rsidR="00D16A1A">
        <w:t>. O</w:t>
      </w:r>
      <w:r w:rsidR="0070094B">
        <w:t>ur structures for norms may be critiqued on various grounds: of health or safet</w:t>
      </w:r>
      <w:r w:rsidR="00D233C1">
        <w:t>y or efficiency</w:t>
      </w:r>
      <w:r w:rsidR="00CC49CF">
        <w:t xml:space="preserve"> or public good</w:t>
      </w:r>
      <w:r w:rsidR="00D233C1">
        <w:t xml:space="preserve">, or on </w:t>
      </w:r>
      <w:r w:rsidR="00CC49CF">
        <w:t xml:space="preserve">more purely </w:t>
      </w:r>
      <w:r w:rsidR="00D233C1">
        <w:t xml:space="preserve">moral grounds: that these (morally) are not the norms we </w:t>
      </w:r>
      <w:r w:rsidR="00D233C1">
        <w:rPr>
          <w:i/>
        </w:rPr>
        <w:t xml:space="preserve">ought to </w:t>
      </w:r>
      <w:r w:rsidR="00D233C1">
        <w:t>have.</w:t>
      </w:r>
      <w:r w:rsidR="00C60DF6">
        <w:t xml:space="preserve"> So </w:t>
      </w:r>
      <w:r w:rsidR="00813B81">
        <w:t>acknowledging the role of norms in social structures enables us to do still more to</w:t>
      </w:r>
      <w:r w:rsidR="00D911C7">
        <w:t xml:space="preserve"> ide</w:t>
      </w:r>
      <w:r w:rsidR="00813B81">
        <w:t xml:space="preserve">ntify sources of injustice, </w:t>
      </w:r>
      <w:r w:rsidR="00D911C7">
        <w:t xml:space="preserve">beyond the fact that social structures create ‘architectures of choice’ that lead some choice combinations to be accessible to some, but not other, members of a population. Norms for treating women, people of color, immigrants, etc. </w:t>
      </w:r>
      <w:r w:rsidR="00C60DF6">
        <w:t>may be subjected to critique</w:t>
      </w:r>
      <w:r w:rsidR="00D911C7">
        <w:t xml:space="preserve"> if, in our reflectiv</w:t>
      </w:r>
      <w:r w:rsidR="00C60DF6">
        <w:t>e state, we don’t feel that members of these groups</w:t>
      </w:r>
      <w:r w:rsidR="00D911C7">
        <w:t xml:space="preserve"> </w:t>
      </w:r>
      <w:r w:rsidR="00D911C7">
        <w:rPr>
          <w:i/>
        </w:rPr>
        <w:t xml:space="preserve">should </w:t>
      </w:r>
      <w:r w:rsidR="00D911C7">
        <w:t>be subjected to these different norms (in job interviews, by police</w:t>
      </w:r>
      <w:r w:rsidR="00C60DF6">
        <w:t xml:space="preserve"> or fellow citizens…</w:t>
      </w:r>
      <w:r w:rsidR="00D911C7">
        <w:t>)</w:t>
      </w:r>
      <w:r w:rsidR="00D16A1A">
        <w:t>.</w:t>
      </w:r>
    </w:p>
    <w:p w14:paraId="2C634EDD" w14:textId="3EEBFF9D" w:rsidR="00D911C7" w:rsidRPr="00985512" w:rsidRDefault="00D911C7" w:rsidP="00C60DF6">
      <w:r>
        <w:tab/>
        <w:t xml:space="preserve"> </w:t>
      </w:r>
      <w:r w:rsidR="00961F52">
        <w:t>All of this is frankly sketchy and programmatic, and none of it</w:t>
      </w:r>
      <w:r w:rsidR="00C60DF6">
        <w:t xml:space="preserve"> undermines the important </w:t>
      </w:r>
      <w:r w:rsidR="00061DA2">
        <w:t>achievements of Haslanger’s paper</w:t>
      </w:r>
      <w:r w:rsidR="00813B81">
        <w:t>. What I have suggested is simply</w:t>
      </w:r>
      <w:r w:rsidR="00E61175">
        <w:t xml:space="preserve"> a broadening project,</w:t>
      </w:r>
      <w:r w:rsidR="00A6117D">
        <w:t xml:space="preserve"> based on </w:t>
      </w:r>
      <w:r w:rsidR="00111AAC">
        <w:t xml:space="preserve">seeing how </w:t>
      </w:r>
      <w:r w:rsidR="00A6117D">
        <w:t>und</w:t>
      </w:r>
      <w:r w:rsidR="00111AAC">
        <w:t xml:space="preserve">erstanding the norms embedded in social meanings </w:t>
      </w:r>
      <w:r w:rsidR="00D16A1A">
        <w:t xml:space="preserve">and the nodes and </w:t>
      </w:r>
      <w:r w:rsidR="00111AAC">
        <w:t xml:space="preserve">practices of social structures </w:t>
      </w:r>
      <w:r w:rsidR="00A6117D">
        <w:t>may shape our ways of navigating the social world</w:t>
      </w:r>
      <w:r w:rsidR="009B2394">
        <w:t>. I think the focus on norms</w:t>
      </w:r>
      <w:r w:rsidR="00C60DF6">
        <w:t xml:space="preserve"> is quite compatible with work </w:t>
      </w:r>
      <w:r w:rsidR="00111AAC">
        <w:t xml:space="preserve">Haslanger </w:t>
      </w:r>
      <w:r w:rsidR="00C60DF6">
        <w:t>has done elsewhere, as well as with some other threads of this very paper</w:t>
      </w:r>
      <w:r w:rsidR="00061DA2">
        <w:t>.</w:t>
      </w:r>
      <w:r w:rsidR="00FC4BB6">
        <w:t xml:space="preserve"> By </w:t>
      </w:r>
      <w:r w:rsidR="009B2394">
        <w:t>bring</w:t>
      </w:r>
      <w:r w:rsidR="00FC4BB6">
        <w:t>ing</w:t>
      </w:r>
      <w:r w:rsidR="009B2394">
        <w:t xml:space="preserve"> the role of norms more upfront, </w:t>
      </w:r>
      <w:r w:rsidR="00FC4BB6">
        <w:t>we</w:t>
      </w:r>
      <w:r w:rsidR="009B2394">
        <w:t xml:space="preserve"> may make available social explanations that both impact </w:t>
      </w:r>
      <w:r w:rsidR="00CD6601">
        <w:t xml:space="preserve">explanations in the </w:t>
      </w:r>
      <w:r w:rsidR="009B2394">
        <w:t>choice-within-a-choice-architect</w:t>
      </w:r>
      <w:r w:rsidR="00DC74AB">
        <w:t>ure model, and reach beyond it—o</w:t>
      </w:r>
      <w:r w:rsidR="00CD6601">
        <w:t xml:space="preserve">pening the way for other forms of </w:t>
      </w:r>
      <w:r w:rsidR="00E61175">
        <w:t>social-structural explanation</w:t>
      </w:r>
      <w:r w:rsidR="00D27DA8">
        <w:t xml:space="preserve"> and other forms of critique and intervention</w:t>
      </w:r>
      <w:r w:rsidR="00E61175">
        <w:t xml:space="preserve">. </w:t>
      </w:r>
    </w:p>
    <w:p w14:paraId="34E0C30E" w14:textId="77777777" w:rsidR="009B2394" w:rsidRDefault="009B2394" w:rsidP="00867F9F"/>
    <w:p w14:paraId="2DA7CA00" w14:textId="77777777" w:rsidR="009B2394" w:rsidRDefault="009B2394" w:rsidP="00867F9F"/>
    <w:p w14:paraId="304BA38D" w14:textId="77777777" w:rsidR="00961F52" w:rsidRPr="00961F52" w:rsidRDefault="00961F52" w:rsidP="00867F9F">
      <w:pPr>
        <w:rPr>
          <w:b/>
        </w:rPr>
      </w:pPr>
      <w:r w:rsidRPr="00961F52">
        <w:rPr>
          <w:b/>
        </w:rPr>
        <w:t>References:</w:t>
      </w:r>
    </w:p>
    <w:p w14:paraId="60694CBC" w14:textId="77777777" w:rsidR="00961F52" w:rsidRDefault="00961F52" w:rsidP="00867F9F"/>
    <w:p w14:paraId="59F3A813" w14:textId="77777777" w:rsidR="00961F52" w:rsidRDefault="00961F52" w:rsidP="00867F9F">
      <w:r>
        <w:t>Haslanger, Sally (this volume). “What is a (Social) Structural Explanation?”</w:t>
      </w:r>
    </w:p>
    <w:p w14:paraId="21C7DADF" w14:textId="77777777" w:rsidR="00961F52" w:rsidRDefault="00961F52" w:rsidP="00867F9F"/>
    <w:p w14:paraId="0BEE548D" w14:textId="3DF3ADE4" w:rsidR="00961F52" w:rsidRPr="00874CB4" w:rsidRDefault="00961F52" w:rsidP="00867F9F">
      <w:r>
        <w:t xml:space="preserve">Haslanger, Sally </w:t>
      </w:r>
      <w:r w:rsidR="00874CB4">
        <w:t xml:space="preserve">(2012). </w:t>
      </w:r>
      <w:r w:rsidR="00874CB4">
        <w:rPr>
          <w:i/>
        </w:rPr>
        <w:t xml:space="preserve">Resisting Reality: Social Construction and Social Critique. </w:t>
      </w:r>
      <w:r w:rsidR="00874CB4">
        <w:t xml:space="preserve">Oxford University Press. </w:t>
      </w:r>
    </w:p>
    <w:p w14:paraId="44D8D86F" w14:textId="77777777" w:rsidR="00C64D4F" w:rsidRDefault="00C64D4F" w:rsidP="00867F9F"/>
    <w:p w14:paraId="5A49C053" w14:textId="7F91B2CD" w:rsidR="00C64D4F" w:rsidRPr="00F879A8" w:rsidRDefault="00C64D4F" w:rsidP="00867F9F">
      <w:r>
        <w:t>Heidegger, Martin (</w:t>
      </w:r>
      <w:r w:rsidR="00F879A8">
        <w:t>1927/1962</w:t>
      </w:r>
      <w:r>
        <w:t>)</w:t>
      </w:r>
      <w:r w:rsidR="00F879A8">
        <w:t>.</w:t>
      </w:r>
      <w:r>
        <w:rPr>
          <w:i/>
        </w:rPr>
        <w:t xml:space="preserve"> Being and Time. </w:t>
      </w:r>
      <w:r w:rsidR="00F879A8">
        <w:t>Translated by John Macquarrie and Edward Robinson. New York: Harper and Rowe.</w:t>
      </w:r>
    </w:p>
    <w:p w14:paraId="74ACD9DD" w14:textId="77777777" w:rsidR="00C64D4F" w:rsidRDefault="00C64D4F" w:rsidP="00867F9F"/>
    <w:p w14:paraId="262EF7FC" w14:textId="329C40EB" w:rsidR="00C64D4F" w:rsidRPr="00FD7360" w:rsidRDefault="00C64D4F" w:rsidP="00867F9F">
      <w:r>
        <w:t>Ingarden, Roman (</w:t>
      </w:r>
      <w:r w:rsidR="00FD7360">
        <w:t>1961/1989)</w:t>
      </w:r>
      <w:r>
        <w:t xml:space="preserve"> “The Architectural Work”, in </w:t>
      </w:r>
      <w:r w:rsidR="00FD7360">
        <w:rPr>
          <w:i/>
        </w:rPr>
        <w:t>The Ontology of the Work of Art</w:t>
      </w:r>
      <w:r>
        <w:rPr>
          <w:i/>
        </w:rPr>
        <w:t xml:space="preserve">. </w:t>
      </w:r>
      <w:r w:rsidR="00FD7360">
        <w:t>Translated by Raymond Meyer. Athens, Ohio: Ohio University Press.</w:t>
      </w:r>
    </w:p>
    <w:p w14:paraId="5A6414A1" w14:textId="77777777" w:rsidR="00C64D4F" w:rsidRDefault="00C64D4F" w:rsidP="00867F9F"/>
    <w:p w14:paraId="4DF3FDFA" w14:textId="70894901" w:rsidR="00C64D4F" w:rsidRPr="00533FFB" w:rsidRDefault="00C64D4F" w:rsidP="00867F9F">
      <w:r>
        <w:t>Levinson, Jerrold</w:t>
      </w:r>
      <w:r w:rsidR="00533FFB">
        <w:t xml:space="preserve">  (1979). “Defining Art Historically”, </w:t>
      </w:r>
      <w:r w:rsidR="00533FFB">
        <w:rPr>
          <w:i/>
        </w:rPr>
        <w:t xml:space="preserve">British Journal of Aesthetics </w:t>
      </w:r>
      <w:r w:rsidR="00533FFB">
        <w:t>19 (3): 21-33.</w:t>
      </w:r>
    </w:p>
    <w:p w14:paraId="606ACD9B" w14:textId="77777777" w:rsidR="00961F52" w:rsidRDefault="00961F52" w:rsidP="00867F9F"/>
    <w:p w14:paraId="7C5EA442" w14:textId="0F3AAFA5" w:rsidR="00961F52" w:rsidRPr="00961F52" w:rsidRDefault="00961F52" w:rsidP="00867F9F">
      <w:r>
        <w:t xml:space="preserve">Risjord, Mark W. (2000) </w:t>
      </w:r>
      <w:r>
        <w:rPr>
          <w:i/>
        </w:rPr>
        <w:t xml:space="preserve">Woodcutters and Witchcraft: Rationality and Interpretive Change in the Social Sciences. </w:t>
      </w:r>
      <w:r>
        <w:t>Albany: SUNY Press.</w:t>
      </w:r>
    </w:p>
    <w:p w14:paraId="7978236C" w14:textId="77777777" w:rsidR="00961F52" w:rsidRDefault="00961F52" w:rsidP="00867F9F"/>
    <w:p w14:paraId="140BCB41" w14:textId="7E488B9F" w:rsidR="00961F52" w:rsidRPr="00961F52" w:rsidRDefault="00961F52" w:rsidP="00867F9F">
      <w:r>
        <w:t>Thomasson, Amie L. (2014).  “Public Artifacts, Intentions and Norms”, in M. Franssen, P. Kroes, T. Reydon, and P. Verm</w:t>
      </w:r>
      <w:r w:rsidR="00772358">
        <w:t>a</w:t>
      </w:r>
      <w:r>
        <w:t xml:space="preserve">as et al. (eds). </w:t>
      </w:r>
      <w:r>
        <w:rPr>
          <w:i/>
        </w:rPr>
        <w:t xml:space="preserve">Artefact Kinds: Ontology and the Human-Made World. </w:t>
      </w:r>
      <w:r>
        <w:t>Synthese Library, Switzerland: Springer.</w:t>
      </w:r>
    </w:p>
    <w:sectPr w:rsidR="00961F52" w:rsidRPr="00961F52" w:rsidSect="00D3248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0EC8E" w14:textId="77777777" w:rsidR="00C060AA" w:rsidRDefault="00C060AA" w:rsidP="007C3E18">
      <w:r>
        <w:separator/>
      </w:r>
    </w:p>
  </w:endnote>
  <w:endnote w:type="continuationSeparator" w:id="0">
    <w:p w14:paraId="1E83386E" w14:textId="77777777" w:rsidR="00C060AA" w:rsidRDefault="00C060AA" w:rsidP="007C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84EDB" w14:textId="77777777" w:rsidR="00C060AA" w:rsidRDefault="00C060AA" w:rsidP="00041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B6F43" w14:textId="77777777" w:rsidR="00C060AA" w:rsidRDefault="00C060AA" w:rsidP="007C3E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F3F93" w14:textId="77777777" w:rsidR="00C060AA" w:rsidRDefault="00C060AA" w:rsidP="00041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ACE">
      <w:rPr>
        <w:rStyle w:val="PageNumber"/>
        <w:noProof/>
      </w:rPr>
      <w:t>1</w:t>
    </w:r>
    <w:r>
      <w:rPr>
        <w:rStyle w:val="PageNumber"/>
      </w:rPr>
      <w:fldChar w:fldCharType="end"/>
    </w:r>
  </w:p>
  <w:p w14:paraId="22418B71" w14:textId="77777777" w:rsidR="00C060AA" w:rsidRDefault="00C060AA" w:rsidP="007C3E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C480A" w14:textId="77777777" w:rsidR="00C060AA" w:rsidRDefault="00C060AA" w:rsidP="007C3E18">
      <w:r>
        <w:separator/>
      </w:r>
    </w:p>
  </w:footnote>
  <w:footnote w:type="continuationSeparator" w:id="0">
    <w:p w14:paraId="328EC05D" w14:textId="77777777" w:rsidR="00C060AA" w:rsidRDefault="00C060AA" w:rsidP="007C3E18">
      <w:r>
        <w:continuationSeparator/>
      </w:r>
    </w:p>
  </w:footnote>
  <w:footnote w:id="1">
    <w:p w14:paraId="5283CD4B" w14:textId="6182F0AC" w:rsidR="00C060AA" w:rsidRPr="002336E0" w:rsidRDefault="00C060AA" w:rsidP="002336E0">
      <w:pPr>
        <w:rPr>
          <w:sz w:val="20"/>
          <w:szCs w:val="20"/>
        </w:rPr>
      </w:pPr>
      <w:r>
        <w:rPr>
          <w:rStyle w:val="FootnoteReference"/>
        </w:rPr>
        <w:footnoteRef/>
      </w:r>
      <w:r>
        <w:t xml:space="preserve"> </w:t>
      </w:r>
      <w:r w:rsidRPr="00483921">
        <w:rPr>
          <w:sz w:val="20"/>
          <w:szCs w:val="20"/>
        </w:rPr>
        <w:t xml:space="preserve">An idea like this also plays a role in Jerrold Levinson’s </w:t>
      </w:r>
      <w:r>
        <w:rPr>
          <w:sz w:val="20"/>
          <w:szCs w:val="20"/>
        </w:rPr>
        <w:t xml:space="preserve">(1979) </w:t>
      </w:r>
      <w:r w:rsidRPr="00483921">
        <w:rPr>
          <w:sz w:val="20"/>
          <w:szCs w:val="20"/>
        </w:rPr>
        <w:t xml:space="preserve">analysis of </w:t>
      </w:r>
      <w:r w:rsidRPr="002336E0">
        <w:rPr>
          <w:sz w:val="20"/>
          <w:szCs w:val="20"/>
        </w:rPr>
        <w:t xml:space="preserve">a work of art as a thing intended for regard-as-a-work-of-art, that is for, regard in any of the ways prior </w:t>
      </w:r>
      <w:r>
        <w:rPr>
          <w:sz w:val="20"/>
          <w:szCs w:val="20"/>
        </w:rPr>
        <w:t xml:space="preserve">works </w:t>
      </w:r>
      <w:r w:rsidRPr="002336E0">
        <w:rPr>
          <w:sz w:val="20"/>
          <w:szCs w:val="20"/>
        </w:rPr>
        <w:t xml:space="preserve">have been </w:t>
      </w:r>
      <w:r>
        <w:rPr>
          <w:sz w:val="20"/>
          <w:szCs w:val="20"/>
        </w:rPr>
        <w:t>properly regarded.</w:t>
      </w:r>
    </w:p>
  </w:footnote>
  <w:footnote w:id="2">
    <w:p w14:paraId="1D5172B6" w14:textId="77777777" w:rsidR="00C060AA" w:rsidRPr="006059AE" w:rsidRDefault="00C060AA" w:rsidP="00E37E6F">
      <w:pPr>
        <w:pStyle w:val="FootnoteText"/>
        <w:rPr>
          <w:sz w:val="20"/>
          <w:szCs w:val="20"/>
        </w:rPr>
      </w:pPr>
      <w:r w:rsidRPr="006059AE">
        <w:rPr>
          <w:rStyle w:val="FootnoteReference"/>
          <w:sz w:val="20"/>
          <w:szCs w:val="20"/>
        </w:rPr>
        <w:footnoteRef/>
      </w:r>
      <w:r w:rsidRPr="006059AE">
        <w:rPr>
          <w:sz w:val="20"/>
          <w:szCs w:val="20"/>
        </w:rPr>
        <w:t xml:space="preserve"> Mark Risjord argues that “The primary role for norms in social scientific explanation is in the explanation of group-level phenomena”, not of explaining individual action, reinforcing the idea</w:t>
      </w:r>
      <w:r>
        <w:rPr>
          <w:sz w:val="20"/>
          <w:szCs w:val="20"/>
        </w:rPr>
        <w:t xml:space="preserve"> that norms may figure in large-</w:t>
      </w:r>
      <w:r w:rsidRPr="006059AE">
        <w:rPr>
          <w:sz w:val="20"/>
          <w:szCs w:val="20"/>
        </w:rPr>
        <w:t>scale structural explanations (2000, 155).</w:t>
      </w:r>
      <w:r>
        <w:rPr>
          <w:sz w:val="20"/>
          <w:szCs w:val="20"/>
        </w:rPr>
        <w:t xml:space="preserve"> He also discusses and responds to doubts that norms may figure in explanations. </w:t>
      </w:r>
    </w:p>
  </w:footnote>
  <w:footnote w:id="3">
    <w:p w14:paraId="42D8317D" w14:textId="481B95D6" w:rsidR="00C060AA" w:rsidRDefault="00C060AA">
      <w:pPr>
        <w:pStyle w:val="FootnoteText"/>
      </w:pPr>
      <w:r>
        <w:rPr>
          <w:rStyle w:val="FootnoteReference"/>
        </w:rPr>
        <w:footnoteRef/>
      </w:r>
      <w:r>
        <w:t xml:space="preserve"> </w:t>
      </w:r>
      <w:r w:rsidRPr="0062150C">
        <w:rPr>
          <w:sz w:val="20"/>
          <w:szCs w:val="20"/>
        </w:rPr>
        <w:t xml:space="preserve">Haslanger elsewhere notes that “for these [social] roles… there are norms” </w:t>
      </w:r>
      <w:r>
        <w:rPr>
          <w:sz w:val="20"/>
          <w:szCs w:val="20"/>
        </w:rPr>
        <w:t xml:space="preserve">that are typically internalized given a shared “cultural vocabulary” </w:t>
      </w:r>
      <w:r w:rsidRPr="0062150C">
        <w:rPr>
          <w:sz w:val="20"/>
          <w:szCs w:val="20"/>
        </w:rPr>
        <w:t>(2012, 10).</w:t>
      </w:r>
    </w:p>
  </w:footnote>
  <w:footnote w:id="4">
    <w:p w14:paraId="1FEEB18B" w14:textId="77777777" w:rsidR="00C060AA" w:rsidRPr="00E37E6F" w:rsidRDefault="00C060AA" w:rsidP="00E37E6F">
      <w:pPr>
        <w:pStyle w:val="FootnoteText"/>
        <w:rPr>
          <w:sz w:val="20"/>
          <w:szCs w:val="20"/>
        </w:rPr>
      </w:pPr>
      <w:r w:rsidRPr="00E37E6F">
        <w:rPr>
          <w:rStyle w:val="FootnoteReference"/>
          <w:sz w:val="20"/>
          <w:szCs w:val="20"/>
        </w:rPr>
        <w:footnoteRef/>
      </w:r>
      <w:r w:rsidRPr="00E37E6F">
        <w:rPr>
          <w:sz w:val="20"/>
          <w:szCs w:val="20"/>
        </w:rPr>
        <w:t xml:space="preserve"> Though in this case perhaps not </w:t>
      </w:r>
      <w:r w:rsidRPr="00E37E6F">
        <w:rPr>
          <w:i/>
          <w:sz w:val="20"/>
          <w:szCs w:val="20"/>
        </w:rPr>
        <w:t xml:space="preserve">constitutive </w:t>
      </w:r>
      <w:r w:rsidRPr="00E37E6F">
        <w:rPr>
          <w:sz w:val="20"/>
          <w:szCs w:val="20"/>
        </w:rPr>
        <w:t>norms.</w:t>
      </w:r>
    </w:p>
  </w:footnote>
  <w:footnote w:id="5">
    <w:p w14:paraId="546C9979" w14:textId="4E145D35" w:rsidR="00C060AA" w:rsidRPr="0062150C" w:rsidRDefault="00C060AA">
      <w:pPr>
        <w:pStyle w:val="FootnoteText"/>
        <w:rPr>
          <w:sz w:val="20"/>
          <w:szCs w:val="20"/>
        </w:rPr>
      </w:pPr>
      <w:r w:rsidRPr="0062150C">
        <w:rPr>
          <w:rStyle w:val="FootnoteReference"/>
          <w:sz w:val="20"/>
          <w:szCs w:val="20"/>
        </w:rPr>
        <w:footnoteRef/>
      </w:r>
      <w:r w:rsidRPr="0062150C">
        <w:rPr>
          <w:sz w:val="20"/>
          <w:szCs w:val="20"/>
        </w:rPr>
        <w:t xml:space="preserve"> This again is in line with some points Haslanger herself makes elsewhere, for example that “in the practices of day-to-day l</w:t>
      </w:r>
      <w:r>
        <w:rPr>
          <w:sz w:val="20"/>
          <w:szCs w:val="20"/>
        </w:rPr>
        <w:t>ife, the movement, location, an</w:t>
      </w:r>
      <w:r w:rsidRPr="0062150C">
        <w:rPr>
          <w:sz w:val="20"/>
          <w:szCs w:val="20"/>
        </w:rPr>
        <w:t>d</w:t>
      </w:r>
      <w:r>
        <w:rPr>
          <w:sz w:val="20"/>
          <w:szCs w:val="20"/>
        </w:rPr>
        <w:t xml:space="preserve"> </w:t>
      </w:r>
      <w:r w:rsidRPr="0062150C">
        <w:rPr>
          <w:sz w:val="20"/>
          <w:szCs w:val="20"/>
        </w:rPr>
        <w:t>meaning of our bodies often has little to do with the agent’s conscious ness or intentions” (2012, 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61A5"/>
    <w:multiLevelType w:val="hybridMultilevel"/>
    <w:tmpl w:val="60423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4771EB"/>
    <w:multiLevelType w:val="hybridMultilevel"/>
    <w:tmpl w:val="30CC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920035"/>
    <w:multiLevelType w:val="hybridMultilevel"/>
    <w:tmpl w:val="45C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70"/>
    <w:rsid w:val="000015DF"/>
    <w:rsid w:val="000410DB"/>
    <w:rsid w:val="00061DA2"/>
    <w:rsid w:val="000A3795"/>
    <w:rsid w:val="000C61F5"/>
    <w:rsid w:val="000D5BF4"/>
    <w:rsid w:val="000E5EDA"/>
    <w:rsid w:val="000F6A6A"/>
    <w:rsid w:val="00100289"/>
    <w:rsid w:val="00111AAC"/>
    <w:rsid w:val="001178CF"/>
    <w:rsid w:val="00121D3C"/>
    <w:rsid w:val="00137C08"/>
    <w:rsid w:val="00150725"/>
    <w:rsid w:val="00180CF4"/>
    <w:rsid w:val="001A541B"/>
    <w:rsid w:val="001B2420"/>
    <w:rsid w:val="001C1763"/>
    <w:rsid w:val="001E3180"/>
    <w:rsid w:val="002323E7"/>
    <w:rsid w:val="002336E0"/>
    <w:rsid w:val="00297870"/>
    <w:rsid w:val="002D227E"/>
    <w:rsid w:val="002D3DFC"/>
    <w:rsid w:val="002F4CFC"/>
    <w:rsid w:val="002F7E55"/>
    <w:rsid w:val="00300485"/>
    <w:rsid w:val="00332534"/>
    <w:rsid w:val="00342E6C"/>
    <w:rsid w:val="00357227"/>
    <w:rsid w:val="00357A42"/>
    <w:rsid w:val="003918FA"/>
    <w:rsid w:val="003B6D01"/>
    <w:rsid w:val="003C61C1"/>
    <w:rsid w:val="003D151C"/>
    <w:rsid w:val="003E7EA6"/>
    <w:rsid w:val="00406C1F"/>
    <w:rsid w:val="00433BB2"/>
    <w:rsid w:val="0046216F"/>
    <w:rsid w:val="0047498D"/>
    <w:rsid w:val="004752B1"/>
    <w:rsid w:val="00483921"/>
    <w:rsid w:val="004C77BB"/>
    <w:rsid w:val="004D2ACE"/>
    <w:rsid w:val="004E4BC8"/>
    <w:rsid w:val="004F21A5"/>
    <w:rsid w:val="004F37AE"/>
    <w:rsid w:val="005246A2"/>
    <w:rsid w:val="00524A32"/>
    <w:rsid w:val="00525A7E"/>
    <w:rsid w:val="00533FFB"/>
    <w:rsid w:val="005361F3"/>
    <w:rsid w:val="005950A3"/>
    <w:rsid w:val="005A0F33"/>
    <w:rsid w:val="005A28CA"/>
    <w:rsid w:val="005E1F56"/>
    <w:rsid w:val="006059AE"/>
    <w:rsid w:val="0062150C"/>
    <w:rsid w:val="00621833"/>
    <w:rsid w:val="00653D71"/>
    <w:rsid w:val="0067713E"/>
    <w:rsid w:val="006B602B"/>
    <w:rsid w:val="006D4235"/>
    <w:rsid w:val="006E7B0E"/>
    <w:rsid w:val="006F26F3"/>
    <w:rsid w:val="0070094B"/>
    <w:rsid w:val="007014A7"/>
    <w:rsid w:val="007032FB"/>
    <w:rsid w:val="00703371"/>
    <w:rsid w:val="00725867"/>
    <w:rsid w:val="007265F4"/>
    <w:rsid w:val="00733FDF"/>
    <w:rsid w:val="00737C6C"/>
    <w:rsid w:val="00747E7B"/>
    <w:rsid w:val="00772358"/>
    <w:rsid w:val="0079078C"/>
    <w:rsid w:val="00790FD6"/>
    <w:rsid w:val="007A53E7"/>
    <w:rsid w:val="007B690D"/>
    <w:rsid w:val="007C3E18"/>
    <w:rsid w:val="007E3429"/>
    <w:rsid w:val="00812588"/>
    <w:rsid w:val="00813B81"/>
    <w:rsid w:val="008308A8"/>
    <w:rsid w:val="0083185A"/>
    <w:rsid w:val="00867F9F"/>
    <w:rsid w:val="00874CB4"/>
    <w:rsid w:val="008D781A"/>
    <w:rsid w:val="008F0A0B"/>
    <w:rsid w:val="008F3BE2"/>
    <w:rsid w:val="00911421"/>
    <w:rsid w:val="00922F17"/>
    <w:rsid w:val="009241A8"/>
    <w:rsid w:val="0093133C"/>
    <w:rsid w:val="00943BC3"/>
    <w:rsid w:val="00961F52"/>
    <w:rsid w:val="009751EC"/>
    <w:rsid w:val="00981B5D"/>
    <w:rsid w:val="00986C40"/>
    <w:rsid w:val="009902E7"/>
    <w:rsid w:val="009A6EFB"/>
    <w:rsid w:val="009B1A3A"/>
    <w:rsid w:val="009B2394"/>
    <w:rsid w:val="009B4052"/>
    <w:rsid w:val="009E2B21"/>
    <w:rsid w:val="009E7BA0"/>
    <w:rsid w:val="00A15C1E"/>
    <w:rsid w:val="00A315F4"/>
    <w:rsid w:val="00A41326"/>
    <w:rsid w:val="00A42010"/>
    <w:rsid w:val="00A510E1"/>
    <w:rsid w:val="00A6117D"/>
    <w:rsid w:val="00A71EB3"/>
    <w:rsid w:val="00A851D4"/>
    <w:rsid w:val="00A863A1"/>
    <w:rsid w:val="00AA1E47"/>
    <w:rsid w:val="00AB103D"/>
    <w:rsid w:val="00AC6D20"/>
    <w:rsid w:val="00AD7A6F"/>
    <w:rsid w:val="00B23385"/>
    <w:rsid w:val="00B77D68"/>
    <w:rsid w:val="00B936AA"/>
    <w:rsid w:val="00BE03EB"/>
    <w:rsid w:val="00BF08C6"/>
    <w:rsid w:val="00BF0A1B"/>
    <w:rsid w:val="00BF663B"/>
    <w:rsid w:val="00C060AA"/>
    <w:rsid w:val="00C12E41"/>
    <w:rsid w:val="00C30C00"/>
    <w:rsid w:val="00C44C2F"/>
    <w:rsid w:val="00C54B6E"/>
    <w:rsid w:val="00C60DF6"/>
    <w:rsid w:val="00C63C2C"/>
    <w:rsid w:val="00C64D4F"/>
    <w:rsid w:val="00C75FF9"/>
    <w:rsid w:val="00CA297B"/>
    <w:rsid w:val="00CC49CF"/>
    <w:rsid w:val="00CD6601"/>
    <w:rsid w:val="00CF0658"/>
    <w:rsid w:val="00D10F48"/>
    <w:rsid w:val="00D14E70"/>
    <w:rsid w:val="00D16A1A"/>
    <w:rsid w:val="00D233C1"/>
    <w:rsid w:val="00D270A9"/>
    <w:rsid w:val="00D27DA8"/>
    <w:rsid w:val="00D32483"/>
    <w:rsid w:val="00D428F4"/>
    <w:rsid w:val="00D606BB"/>
    <w:rsid w:val="00D669EC"/>
    <w:rsid w:val="00D7362C"/>
    <w:rsid w:val="00D77082"/>
    <w:rsid w:val="00D911C7"/>
    <w:rsid w:val="00D93131"/>
    <w:rsid w:val="00D96732"/>
    <w:rsid w:val="00DC74AB"/>
    <w:rsid w:val="00DE2BE3"/>
    <w:rsid w:val="00E37E6F"/>
    <w:rsid w:val="00E61175"/>
    <w:rsid w:val="00E62779"/>
    <w:rsid w:val="00E71592"/>
    <w:rsid w:val="00E90E8F"/>
    <w:rsid w:val="00F1477A"/>
    <w:rsid w:val="00F34BD5"/>
    <w:rsid w:val="00F760D8"/>
    <w:rsid w:val="00F879A8"/>
    <w:rsid w:val="00F91F28"/>
    <w:rsid w:val="00FA4F19"/>
    <w:rsid w:val="00FA7381"/>
    <w:rsid w:val="00FB1166"/>
    <w:rsid w:val="00FC270E"/>
    <w:rsid w:val="00FC4BB6"/>
    <w:rsid w:val="00FD7360"/>
    <w:rsid w:val="00FF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AE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80"/>
    <w:pPr>
      <w:ind w:left="720"/>
      <w:contextualSpacing/>
    </w:pPr>
  </w:style>
  <w:style w:type="paragraph" w:styleId="Footer">
    <w:name w:val="footer"/>
    <w:basedOn w:val="Normal"/>
    <w:link w:val="FooterChar"/>
    <w:uiPriority w:val="99"/>
    <w:unhideWhenUsed/>
    <w:rsid w:val="007C3E18"/>
    <w:pPr>
      <w:tabs>
        <w:tab w:val="center" w:pos="4320"/>
        <w:tab w:val="right" w:pos="8640"/>
      </w:tabs>
    </w:pPr>
  </w:style>
  <w:style w:type="character" w:customStyle="1" w:styleId="FooterChar">
    <w:name w:val="Footer Char"/>
    <w:basedOn w:val="DefaultParagraphFont"/>
    <w:link w:val="Footer"/>
    <w:uiPriority w:val="99"/>
    <w:rsid w:val="007C3E18"/>
  </w:style>
  <w:style w:type="character" w:styleId="PageNumber">
    <w:name w:val="page number"/>
    <w:basedOn w:val="DefaultParagraphFont"/>
    <w:uiPriority w:val="99"/>
    <w:semiHidden/>
    <w:unhideWhenUsed/>
    <w:rsid w:val="007C3E18"/>
  </w:style>
  <w:style w:type="paragraph" w:styleId="FootnoteText">
    <w:name w:val="footnote text"/>
    <w:basedOn w:val="Normal"/>
    <w:link w:val="FootnoteTextChar"/>
    <w:uiPriority w:val="99"/>
    <w:unhideWhenUsed/>
    <w:rsid w:val="00CA297B"/>
  </w:style>
  <w:style w:type="character" w:customStyle="1" w:styleId="FootnoteTextChar">
    <w:name w:val="Footnote Text Char"/>
    <w:basedOn w:val="DefaultParagraphFont"/>
    <w:link w:val="FootnoteText"/>
    <w:uiPriority w:val="99"/>
    <w:rsid w:val="00CA297B"/>
  </w:style>
  <w:style w:type="character" w:styleId="FootnoteReference">
    <w:name w:val="footnote reference"/>
    <w:basedOn w:val="DefaultParagraphFont"/>
    <w:uiPriority w:val="99"/>
    <w:unhideWhenUsed/>
    <w:rsid w:val="00CA297B"/>
    <w:rPr>
      <w:vertAlign w:val="superscript"/>
    </w:rPr>
  </w:style>
  <w:style w:type="character" w:styleId="Hyperlink">
    <w:name w:val="Hyperlink"/>
    <w:basedOn w:val="DefaultParagraphFont"/>
    <w:uiPriority w:val="99"/>
    <w:unhideWhenUsed/>
    <w:rsid w:val="009241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80"/>
    <w:pPr>
      <w:ind w:left="720"/>
      <w:contextualSpacing/>
    </w:pPr>
  </w:style>
  <w:style w:type="paragraph" w:styleId="Footer">
    <w:name w:val="footer"/>
    <w:basedOn w:val="Normal"/>
    <w:link w:val="FooterChar"/>
    <w:uiPriority w:val="99"/>
    <w:unhideWhenUsed/>
    <w:rsid w:val="007C3E18"/>
    <w:pPr>
      <w:tabs>
        <w:tab w:val="center" w:pos="4320"/>
        <w:tab w:val="right" w:pos="8640"/>
      </w:tabs>
    </w:pPr>
  </w:style>
  <w:style w:type="character" w:customStyle="1" w:styleId="FooterChar">
    <w:name w:val="Footer Char"/>
    <w:basedOn w:val="DefaultParagraphFont"/>
    <w:link w:val="Footer"/>
    <w:uiPriority w:val="99"/>
    <w:rsid w:val="007C3E18"/>
  </w:style>
  <w:style w:type="character" w:styleId="PageNumber">
    <w:name w:val="page number"/>
    <w:basedOn w:val="DefaultParagraphFont"/>
    <w:uiPriority w:val="99"/>
    <w:semiHidden/>
    <w:unhideWhenUsed/>
    <w:rsid w:val="007C3E18"/>
  </w:style>
  <w:style w:type="paragraph" w:styleId="FootnoteText">
    <w:name w:val="footnote text"/>
    <w:basedOn w:val="Normal"/>
    <w:link w:val="FootnoteTextChar"/>
    <w:uiPriority w:val="99"/>
    <w:unhideWhenUsed/>
    <w:rsid w:val="00CA297B"/>
  </w:style>
  <w:style w:type="character" w:customStyle="1" w:styleId="FootnoteTextChar">
    <w:name w:val="Footnote Text Char"/>
    <w:basedOn w:val="DefaultParagraphFont"/>
    <w:link w:val="FootnoteText"/>
    <w:uiPriority w:val="99"/>
    <w:rsid w:val="00CA297B"/>
  </w:style>
  <w:style w:type="character" w:styleId="FootnoteReference">
    <w:name w:val="footnote reference"/>
    <w:basedOn w:val="DefaultParagraphFont"/>
    <w:uiPriority w:val="99"/>
    <w:unhideWhenUsed/>
    <w:rsid w:val="00CA297B"/>
    <w:rPr>
      <w:vertAlign w:val="superscript"/>
    </w:rPr>
  </w:style>
  <w:style w:type="character" w:styleId="Hyperlink">
    <w:name w:val="Hyperlink"/>
    <w:basedOn w:val="DefaultParagraphFont"/>
    <w:uiPriority w:val="99"/>
    <w:unhideWhenUsed/>
    <w:rsid w:val="00924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omasson@miami.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4189</Words>
  <Characters>22330</Characters>
  <Application>Microsoft Macintosh Word</Application>
  <DocSecurity>0</DocSecurity>
  <Lines>310</Lines>
  <Paragraphs>60</Paragraphs>
  <ScaleCrop>false</ScaleCrop>
  <HeadingPairs>
    <vt:vector size="2" baseType="variant">
      <vt:variant>
        <vt:lpstr>Title</vt:lpstr>
      </vt:variant>
      <vt:variant>
        <vt:i4>1</vt:i4>
      </vt:variant>
    </vt:vector>
  </HeadingPairs>
  <TitlesOfParts>
    <vt:vector size="1" baseType="lpstr">
      <vt:lpstr/>
    </vt:vector>
  </TitlesOfParts>
  <Manager/>
  <Company>University of Miami</Company>
  <LinksUpToDate>false</LinksUpToDate>
  <CharactersWithSpaces>26459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Thomasson</dc:creator>
  <cp:keywords/>
  <dc:description/>
  <cp:lastModifiedBy>Amie Thomasson</cp:lastModifiedBy>
  <cp:revision>2</cp:revision>
  <cp:lastPrinted>2014-12-03T16:07:00Z</cp:lastPrinted>
  <dcterms:created xsi:type="dcterms:W3CDTF">2016-01-13T19:13:00Z</dcterms:created>
  <dcterms:modified xsi:type="dcterms:W3CDTF">2016-01-13T19:13:00Z</dcterms:modified>
  <cp:category/>
</cp:coreProperties>
</file>